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A3BA" w14:textId="5AA2B488" w:rsidR="0020182B" w:rsidRDefault="00BB4580" w:rsidP="0020182B">
      <w:pPr>
        <w:rPr>
          <w:b/>
          <w:sz w:val="28"/>
          <w:szCs w:val="28"/>
        </w:rPr>
      </w:pPr>
      <w:r w:rsidRPr="00BB4580">
        <w:rPr>
          <w:b/>
          <w:sz w:val="28"/>
          <w:szCs w:val="28"/>
        </w:rPr>
        <w:t xml:space="preserve">Clauses </w:t>
      </w:r>
      <w:r>
        <w:rPr>
          <w:b/>
          <w:sz w:val="28"/>
          <w:szCs w:val="28"/>
        </w:rPr>
        <w:t>t</w:t>
      </w:r>
      <w:r w:rsidRPr="00BB4580">
        <w:rPr>
          <w:b/>
          <w:sz w:val="28"/>
          <w:szCs w:val="28"/>
        </w:rPr>
        <w:t xml:space="preserve">o Comply </w:t>
      </w:r>
      <w:r>
        <w:rPr>
          <w:b/>
          <w:sz w:val="28"/>
          <w:szCs w:val="28"/>
        </w:rPr>
        <w:t>w</w:t>
      </w:r>
      <w:r w:rsidRPr="00BB4580">
        <w:rPr>
          <w:b/>
          <w:sz w:val="28"/>
          <w:szCs w:val="28"/>
        </w:rPr>
        <w:t xml:space="preserve">ith </w:t>
      </w:r>
      <w:r w:rsidR="009019F6">
        <w:rPr>
          <w:b/>
          <w:sz w:val="28"/>
          <w:szCs w:val="28"/>
        </w:rPr>
        <w:t xml:space="preserve">the </w:t>
      </w:r>
      <w:r w:rsidR="00A142A3">
        <w:rPr>
          <w:b/>
          <w:sz w:val="28"/>
          <w:szCs w:val="28"/>
        </w:rPr>
        <w:t xml:space="preserve">UK </w:t>
      </w:r>
      <w:r w:rsidR="00797CAE">
        <w:rPr>
          <w:b/>
          <w:sz w:val="28"/>
          <w:szCs w:val="28"/>
        </w:rPr>
        <w:t>General Data Protection Regulation</w:t>
      </w:r>
      <w:r w:rsidR="00906210">
        <w:rPr>
          <w:rStyle w:val="FootnoteReference"/>
          <w:b/>
          <w:sz w:val="28"/>
          <w:szCs w:val="28"/>
        </w:rPr>
        <w:footnoteReference w:id="2"/>
      </w:r>
      <w:r w:rsidR="00906210">
        <w:rPr>
          <w:b/>
          <w:sz w:val="28"/>
          <w:szCs w:val="28"/>
        </w:rPr>
        <w:t xml:space="preserve"> </w:t>
      </w:r>
      <w:r w:rsidR="00797CAE">
        <w:rPr>
          <w:b/>
          <w:sz w:val="28"/>
          <w:szCs w:val="28"/>
        </w:rPr>
        <w:t>(</w:t>
      </w:r>
      <w:r w:rsidR="008153DE">
        <w:rPr>
          <w:b/>
          <w:sz w:val="28"/>
          <w:szCs w:val="28"/>
        </w:rPr>
        <w:t>“</w:t>
      </w:r>
      <w:r w:rsidR="00667959">
        <w:rPr>
          <w:b/>
          <w:sz w:val="28"/>
          <w:szCs w:val="28"/>
        </w:rPr>
        <w:t xml:space="preserve">UK </w:t>
      </w:r>
      <w:r w:rsidR="008153DE">
        <w:rPr>
          <w:b/>
          <w:sz w:val="28"/>
          <w:szCs w:val="28"/>
        </w:rPr>
        <w:t>GDPR”</w:t>
      </w:r>
      <w:r w:rsidR="00797CAE">
        <w:rPr>
          <w:b/>
          <w:sz w:val="28"/>
          <w:szCs w:val="28"/>
        </w:rPr>
        <w:t>)</w:t>
      </w:r>
      <w:r w:rsidR="00667959">
        <w:rPr>
          <w:b/>
          <w:sz w:val="28"/>
          <w:szCs w:val="28"/>
        </w:rPr>
        <w:t>, the Data Protection Act 2018,</w:t>
      </w:r>
      <w:r w:rsidR="00F249D9">
        <w:rPr>
          <w:b/>
          <w:sz w:val="28"/>
          <w:szCs w:val="28"/>
        </w:rPr>
        <w:t xml:space="preserve"> </w:t>
      </w:r>
      <w:r w:rsidR="00F249D9" w:rsidRPr="00F249D9">
        <w:rPr>
          <w:b/>
          <w:sz w:val="28"/>
          <w:szCs w:val="28"/>
        </w:rPr>
        <w:t xml:space="preserve">and any legislation implemented in </w:t>
      </w:r>
      <w:r w:rsidR="00F249D9">
        <w:rPr>
          <w:b/>
          <w:sz w:val="28"/>
          <w:szCs w:val="28"/>
        </w:rPr>
        <w:t>the UK</w:t>
      </w:r>
      <w:r w:rsidR="00F249D9" w:rsidRPr="00F249D9">
        <w:rPr>
          <w:b/>
          <w:sz w:val="28"/>
          <w:szCs w:val="28"/>
        </w:rPr>
        <w:t xml:space="preserve"> in connection with the </w:t>
      </w:r>
      <w:r w:rsidR="00667959">
        <w:rPr>
          <w:b/>
          <w:sz w:val="28"/>
          <w:szCs w:val="28"/>
        </w:rPr>
        <w:t xml:space="preserve">UK </w:t>
      </w:r>
      <w:r w:rsidR="00F249D9">
        <w:rPr>
          <w:b/>
          <w:sz w:val="28"/>
          <w:szCs w:val="28"/>
        </w:rPr>
        <w:t>GDPR</w:t>
      </w:r>
      <w:r w:rsidR="00F249D9" w:rsidRPr="00F249D9">
        <w:rPr>
          <w:b/>
          <w:sz w:val="28"/>
          <w:szCs w:val="28"/>
        </w:rPr>
        <w:t xml:space="preserve"> and any replacement legislation coming into effect from time to time</w:t>
      </w:r>
      <w:r w:rsidR="009019F6">
        <w:rPr>
          <w:b/>
          <w:sz w:val="28"/>
          <w:szCs w:val="28"/>
        </w:rPr>
        <w:t>,</w:t>
      </w:r>
      <w:r w:rsidR="008153DE">
        <w:rPr>
          <w:b/>
          <w:sz w:val="28"/>
          <w:szCs w:val="28"/>
        </w:rPr>
        <w:t xml:space="preserve"> together </w:t>
      </w:r>
      <w:r w:rsidR="00CB25CE">
        <w:rPr>
          <w:b/>
          <w:sz w:val="28"/>
          <w:szCs w:val="28"/>
        </w:rPr>
        <w:t>“</w:t>
      </w:r>
      <w:r w:rsidR="008153DE">
        <w:rPr>
          <w:b/>
          <w:sz w:val="28"/>
          <w:szCs w:val="28"/>
        </w:rPr>
        <w:t>Data Protection Legislation</w:t>
      </w:r>
      <w:r w:rsidR="00CB25CE">
        <w:rPr>
          <w:b/>
          <w:sz w:val="28"/>
          <w:szCs w:val="28"/>
        </w:rPr>
        <w:t>”</w:t>
      </w:r>
      <w:r w:rsidR="00797CAE">
        <w:rPr>
          <w:b/>
          <w:sz w:val="28"/>
          <w:szCs w:val="28"/>
        </w:rPr>
        <w:t>,</w:t>
      </w:r>
      <w:r w:rsidR="008153DE">
        <w:rPr>
          <w:b/>
          <w:sz w:val="28"/>
          <w:szCs w:val="28"/>
        </w:rPr>
        <w:t xml:space="preserve"> </w:t>
      </w:r>
      <w:r w:rsidR="008153DE" w:rsidRPr="00906210">
        <w:rPr>
          <w:b/>
          <w:sz w:val="28"/>
          <w:szCs w:val="28"/>
        </w:rPr>
        <w:t>whenever a</w:t>
      </w:r>
      <w:r w:rsidR="00543441" w:rsidRPr="00906210">
        <w:rPr>
          <w:b/>
          <w:sz w:val="28"/>
          <w:szCs w:val="28"/>
        </w:rPr>
        <w:t xml:space="preserve"> “P</w:t>
      </w:r>
      <w:r w:rsidR="00797CAE" w:rsidRPr="00906210">
        <w:rPr>
          <w:b/>
          <w:sz w:val="28"/>
          <w:szCs w:val="28"/>
        </w:rPr>
        <w:t>rocessor</w:t>
      </w:r>
      <w:r w:rsidR="00543441" w:rsidRPr="00906210">
        <w:rPr>
          <w:b/>
          <w:sz w:val="28"/>
          <w:szCs w:val="28"/>
        </w:rPr>
        <w:t>”</w:t>
      </w:r>
      <w:r w:rsidR="00543441" w:rsidRPr="00797CAE">
        <w:rPr>
          <w:b/>
          <w:sz w:val="28"/>
          <w:szCs w:val="28"/>
        </w:rPr>
        <w:t xml:space="preserve"> </w:t>
      </w:r>
      <w:r w:rsidR="008153DE" w:rsidRPr="00906210">
        <w:rPr>
          <w:b/>
          <w:sz w:val="28"/>
          <w:szCs w:val="28"/>
        </w:rPr>
        <w:t xml:space="preserve">stores or processes personal </w:t>
      </w:r>
      <w:r w:rsidR="008153DE" w:rsidRPr="001B6CFE">
        <w:rPr>
          <w:b/>
          <w:sz w:val="28"/>
          <w:szCs w:val="28"/>
        </w:rPr>
        <w:t>data for the</w:t>
      </w:r>
      <w:r w:rsidR="00543441" w:rsidRPr="001B6CFE">
        <w:rPr>
          <w:b/>
          <w:sz w:val="28"/>
          <w:szCs w:val="28"/>
        </w:rPr>
        <w:t xml:space="preserve"> </w:t>
      </w:r>
      <w:r w:rsidR="008153DE" w:rsidRPr="001B6CFE">
        <w:rPr>
          <w:b/>
          <w:sz w:val="28"/>
          <w:szCs w:val="28"/>
        </w:rPr>
        <w:t>University</w:t>
      </w:r>
      <w:r w:rsidR="008153DE" w:rsidRPr="00543441">
        <w:rPr>
          <w:b/>
          <w:sz w:val="28"/>
          <w:szCs w:val="28"/>
        </w:rPr>
        <w:t xml:space="preserve"> </w:t>
      </w:r>
      <w:r w:rsidR="0055568A">
        <w:rPr>
          <w:b/>
          <w:sz w:val="28"/>
          <w:szCs w:val="28"/>
        </w:rPr>
        <w:t xml:space="preserve">of Cambridge </w:t>
      </w:r>
      <w:r w:rsidR="001B6CFE">
        <w:rPr>
          <w:b/>
          <w:sz w:val="28"/>
          <w:szCs w:val="28"/>
        </w:rPr>
        <w:t>(“</w:t>
      </w:r>
      <w:r w:rsidR="00797CAE">
        <w:rPr>
          <w:b/>
          <w:sz w:val="28"/>
          <w:szCs w:val="28"/>
        </w:rPr>
        <w:t>the</w:t>
      </w:r>
      <w:r w:rsidR="001B6CFE">
        <w:rPr>
          <w:b/>
          <w:sz w:val="28"/>
          <w:szCs w:val="28"/>
        </w:rPr>
        <w:t xml:space="preserve"> C</w:t>
      </w:r>
      <w:r w:rsidR="00797CAE">
        <w:rPr>
          <w:b/>
          <w:sz w:val="28"/>
          <w:szCs w:val="28"/>
        </w:rPr>
        <w:t>ontroller</w:t>
      </w:r>
      <w:r w:rsidR="001B6CFE">
        <w:rPr>
          <w:b/>
          <w:sz w:val="28"/>
          <w:szCs w:val="28"/>
        </w:rPr>
        <w:t xml:space="preserve">”), supplementary to the </w:t>
      </w:r>
      <w:r w:rsidR="009019F6">
        <w:rPr>
          <w:b/>
          <w:sz w:val="28"/>
          <w:szCs w:val="28"/>
        </w:rPr>
        <w:t xml:space="preserve">Processor’s </w:t>
      </w:r>
      <w:r w:rsidR="008153DE">
        <w:rPr>
          <w:b/>
          <w:sz w:val="28"/>
          <w:szCs w:val="28"/>
        </w:rPr>
        <w:t xml:space="preserve">contract </w:t>
      </w:r>
      <w:r w:rsidR="009019F6">
        <w:rPr>
          <w:b/>
          <w:sz w:val="28"/>
          <w:szCs w:val="28"/>
        </w:rPr>
        <w:t>with the University.</w:t>
      </w:r>
    </w:p>
    <w:p w14:paraId="74B30131" w14:textId="77777777" w:rsidR="00730F81" w:rsidRDefault="00730F81" w:rsidP="0020182B"/>
    <w:p w14:paraId="7AC47BF8" w14:textId="14F1DEC9" w:rsidR="00611C4A" w:rsidRDefault="00611C4A" w:rsidP="00611C4A">
      <w:pPr>
        <w:rPr>
          <w:b/>
          <w:i/>
        </w:rPr>
      </w:pPr>
      <w:r w:rsidRPr="00543441">
        <w:rPr>
          <w:b/>
          <w:i/>
        </w:rPr>
        <w:t xml:space="preserve">THE FOLLOWING TABLE NEEDS TO BE </w:t>
      </w:r>
      <w:r w:rsidR="00512048">
        <w:rPr>
          <w:b/>
          <w:i/>
        </w:rPr>
        <w:t xml:space="preserve">CHECKED AND/OR FURTHER </w:t>
      </w:r>
      <w:r w:rsidRPr="00543441">
        <w:rPr>
          <w:b/>
          <w:i/>
        </w:rPr>
        <w:t>COMPLETED:</w:t>
      </w:r>
    </w:p>
    <w:p w14:paraId="2CB42EA1" w14:textId="77777777" w:rsidR="00512048" w:rsidRPr="00543441" w:rsidRDefault="00512048" w:rsidP="00611C4A">
      <w:pPr>
        <w:rPr>
          <w:b/>
          <w:i/>
        </w:rPr>
      </w:pPr>
    </w:p>
    <w:tbl>
      <w:tblPr>
        <w:tblStyle w:val="TableGrid"/>
        <w:tblW w:w="0" w:type="auto"/>
        <w:tblLook w:val="04A0" w:firstRow="1" w:lastRow="0" w:firstColumn="1" w:lastColumn="0" w:noHBand="0" w:noVBand="1"/>
      </w:tblPr>
      <w:tblGrid>
        <w:gridCol w:w="1848"/>
        <w:gridCol w:w="1923"/>
        <w:gridCol w:w="4525"/>
      </w:tblGrid>
      <w:tr w:rsidR="0055568A" w14:paraId="40088D67" w14:textId="77777777" w:rsidTr="00CD1970">
        <w:trPr>
          <w:trHeight w:val="135"/>
        </w:trPr>
        <w:tc>
          <w:tcPr>
            <w:tcW w:w="0" w:type="auto"/>
            <w:gridSpan w:val="2"/>
            <w:shd w:val="clear" w:color="auto" w:fill="7F7F7F" w:themeFill="text1" w:themeFillTint="80"/>
          </w:tcPr>
          <w:p w14:paraId="5ED4E2CF" w14:textId="77777777" w:rsidR="00CB25CE" w:rsidRDefault="00CB25CE" w:rsidP="00611C4A"/>
        </w:tc>
        <w:tc>
          <w:tcPr>
            <w:tcW w:w="0" w:type="auto"/>
          </w:tcPr>
          <w:p w14:paraId="280E1A02" w14:textId="5654E43C" w:rsidR="00CB25CE" w:rsidRPr="00CB25CE" w:rsidRDefault="00CD4C9B" w:rsidP="00CD4C9B">
            <w:pPr>
              <w:jc w:val="center"/>
              <w:rPr>
                <w:b/>
                <w:i/>
              </w:rPr>
            </w:pPr>
            <w:r>
              <w:rPr>
                <w:b/>
                <w:i/>
              </w:rPr>
              <w:t>Details</w:t>
            </w:r>
          </w:p>
        </w:tc>
      </w:tr>
      <w:tr w:rsidR="0055568A" w14:paraId="73BDDA2B" w14:textId="77777777" w:rsidTr="00CD1970">
        <w:trPr>
          <w:trHeight w:val="135"/>
        </w:trPr>
        <w:tc>
          <w:tcPr>
            <w:tcW w:w="0" w:type="auto"/>
            <w:vMerge w:val="restart"/>
          </w:tcPr>
          <w:p w14:paraId="2325779F" w14:textId="1DFC7EB7" w:rsidR="00CD1970" w:rsidRDefault="0055568A" w:rsidP="00CD1970">
            <w:r>
              <w:t>Types of personal data</w:t>
            </w:r>
          </w:p>
        </w:tc>
        <w:tc>
          <w:tcPr>
            <w:tcW w:w="0" w:type="auto"/>
          </w:tcPr>
          <w:p w14:paraId="6F6AC203" w14:textId="77777777" w:rsidR="00CD1970" w:rsidRDefault="00CD1970" w:rsidP="00CD1970">
            <w:r>
              <w:t>“Personal Data”</w:t>
            </w:r>
            <w:r>
              <w:rPr>
                <w:rStyle w:val="FootnoteReference"/>
              </w:rPr>
              <w:footnoteReference w:id="3"/>
            </w:r>
          </w:p>
        </w:tc>
        <w:tc>
          <w:tcPr>
            <w:tcW w:w="0" w:type="auto"/>
          </w:tcPr>
          <w:p w14:paraId="6DA1D038" w14:textId="18D84300" w:rsidR="00CD1970" w:rsidRDefault="0055568A" w:rsidP="0055568A">
            <w:r>
              <w:t>As specified in the arrangements, insofar as</w:t>
            </w:r>
            <w:r w:rsidR="00CD1970" w:rsidRPr="003350A1">
              <w:t xml:space="preserve"> the arrangements include the processing of personal data for which the University of Cambridge is the controller</w:t>
            </w:r>
          </w:p>
        </w:tc>
      </w:tr>
      <w:tr w:rsidR="0055568A" w14:paraId="57B7E134" w14:textId="77777777" w:rsidTr="00CD1970">
        <w:trPr>
          <w:trHeight w:val="135"/>
        </w:trPr>
        <w:tc>
          <w:tcPr>
            <w:tcW w:w="0" w:type="auto"/>
            <w:vMerge/>
          </w:tcPr>
          <w:p w14:paraId="55679E21" w14:textId="77777777" w:rsidR="00CD1970" w:rsidRDefault="00CD1970" w:rsidP="00CD1970"/>
        </w:tc>
        <w:tc>
          <w:tcPr>
            <w:tcW w:w="0" w:type="auto"/>
          </w:tcPr>
          <w:p w14:paraId="032A313B" w14:textId="658F0493" w:rsidR="00CD1970" w:rsidRDefault="00CD1970" w:rsidP="00CD1970">
            <w:r>
              <w:t>Special category data</w:t>
            </w:r>
            <w:r>
              <w:rPr>
                <w:rStyle w:val="FootnoteReference"/>
              </w:rPr>
              <w:footnoteReference w:id="4"/>
            </w:r>
          </w:p>
        </w:tc>
        <w:tc>
          <w:tcPr>
            <w:tcW w:w="0" w:type="auto"/>
          </w:tcPr>
          <w:p w14:paraId="04AF64BA" w14:textId="5C93E5C0" w:rsidR="00CD1970" w:rsidRDefault="00CD1970" w:rsidP="00CD1970">
            <w:r w:rsidRPr="003350A1">
              <w:t>No</w:t>
            </w:r>
            <w:r w:rsidR="0055568A">
              <w:t>t processed</w:t>
            </w:r>
            <w:r w:rsidRPr="003350A1">
              <w:t>, unless otherwise specified in the arrangements</w:t>
            </w:r>
          </w:p>
        </w:tc>
      </w:tr>
      <w:tr w:rsidR="0055568A" w14:paraId="6790CA43" w14:textId="77777777" w:rsidTr="00CD1970">
        <w:tc>
          <w:tcPr>
            <w:tcW w:w="0" w:type="auto"/>
            <w:gridSpan w:val="2"/>
          </w:tcPr>
          <w:p w14:paraId="44476A1D" w14:textId="77777777" w:rsidR="00CD1970" w:rsidRDefault="00CD1970" w:rsidP="00CD1970">
            <w:r>
              <w:t>Types of data subjects (e.g. staff, students)</w:t>
            </w:r>
          </w:p>
        </w:tc>
        <w:tc>
          <w:tcPr>
            <w:tcW w:w="0" w:type="auto"/>
          </w:tcPr>
          <w:p w14:paraId="02BEAA1D" w14:textId="0086B8D1" w:rsidR="00CD1970" w:rsidRDefault="00CD1970" w:rsidP="00CD1970">
            <w:r w:rsidRPr="003350A1">
              <w:t>As specified in the arrangements</w:t>
            </w:r>
          </w:p>
        </w:tc>
      </w:tr>
      <w:tr w:rsidR="0055568A" w14:paraId="4BF767D1" w14:textId="77777777" w:rsidTr="00CD1970">
        <w:tc>
          <w:tcPr>
            <w:tcW w:w="0" w:type="auto"/>
            <w:gridSpan w:val="2"/>
          </w:tcPr>
          <w:p w14:paraId="38AC613B" w14:textId="19DEFDEB" w:rsidR="00CD1970" w:rsidRDefault="00CD1970" w:rsidP="00CD1970">
            <w:r>
              <w:t xml:space="preserve">Description of work (subject matter, nature and purpose of processing activities e.g. data storage) </w:t>
            </w:r>
          </w:p>
        </w:tc>
        <w:tc>
          <w:tcPr>
            <w:tcW w:w="0" w:type="auto"/>
          </w:tcPr>
          <w:p w14:paraId="481AECB3" w14:textId="7EB8D175" w:rsidR="00CD1970" w:rsidRDefault="00CD1970" w:rsidP="00CD1970">
            <w:r w:rsidRPr="003350A1">
              <w:t>As specified in the arrangements</w:t>
            </w:r>
          </w:p>
        </w:tc>
      </w:tr>
      <w:tr w:rsidR="0055568A" w14:paraId="44BD552C" w14:textId="77777777" w:rsidTr="00CD1970">
        <w:tc>
          <w:tcPr>
            <w:tcW w:w="0" w:type="auto"/>
            <w:gridSpan w:val="2"/>
          </w:tcPr>
          <w:p w14:paraId="6D56A021" w14:textId="33E8DD4B" w:rsidR="00CD1970" w:rsidRDefault="00CD1970" w:rsidP="00CD1970">
            <w:r>
              <w:t>Duration of processing</w:t>
            </w:r>
          </w:p>
        </w:tc>
        <w:tc>
          <w:tcPr>
            <w:tcW w:w="0" w:type="auto"/>
          </w:tcPr>
          <w:p w14:paraId="2F49FEB6" w14:textId="3B8F1C62" w:rsidR="00CD1970" w:rsidRDefault="00CD1970" w:rsidP="00CD1970">
            <w:r w:rsidRPr="003350A1">
              <w:t>For the period contemplated by the arrangements</w:t>
            </w:r>
          </w:p>
        </w:tc>
      </w:tr>
    </w:tbl>
    <w:p w14:paraId="2E7956A5" w14:textId="77777777" w:rsidR="00611C4A" w:rsidRDefault="00611C4A" w:rsidP="00611C4A"/>
    <w:p w14:paraId="348F3760" w14:textId="4CA1F855" w:rsidR="001472E6" w:rsidRDefault="001472E6" w:rsidP="00611C4A">
      <w:r w:rsidRPr="001472E6">
        <w:rPr>
          <w:u w:val="single"/>
        </w:rPr>
        <w:t>Note</w:t>
      </w:r>
      <w:r>
        <w:t xml:space="preserve">:  </w:t>
      </w:r>
      <w:r w:rsidRPr="001472E6">
        <w:t xml:space="preserve">If the Processor determines the purposes and means of processing, </w:t>
      </w:r>
      <w:r>
        <w:t xml:space="preserve">contrary to the terms of the following </w:t>
      </w:r>
      <w:r w:rsidRPr="001472E6">
        <w:t>clauses, the Processor shall be considered to be a controller in respect of such processing</w:t>
      </w:r>
      <w:r w:rsidR="000F0EA0">
        <w:rPr>
          <w:rStyle w:val="FootnoteReference"/>
        </w:rPr>
        <w:footnoteReference w:id="5"/>
      </w:r>
      <w:r>
        <w:t>.</w:t>
      </w:r>
    </w:p>
    <w:p w14:paraId="7FFDD3BA" w14:textId="77777777" w:rsidR="00C27460" w:rsidRDefault="00C27460" w:rsidP="0020182B"/>
    <w:p w14:paraId="47B073F7" w14:textId="7C40BD14" w:rsidR="0020182B" w:rsidRPr="002B783E" w:rsidRDefault="00B014B1" w:rsidP="0020182B">
      <w:pPr>
        <w:rPr>
          <w:u w:val="single"/>
        </w:rPr>
      </w:pPr>
      <w:r w:rsidRPr="00552635">
        <w:rPr>
          <w:u w:val="single"/>
        </w:rPr>
        <w:t>Processor Obligations</w:t>
      </w:r>
      <w:r w:rsidR="002B783E">
        <w:rPr>
          <w:u w:val="single"/>
        </w:rPr>
        <w:t xml:space="preserve"> – </w:t>
      </w:r>
      <w:r w:rsidR="00F93627" w:rsidRPr="00F93627">
        <w:rPr>
          <w:i/>
          <w:u w:val="single"/>
        </w:rPr>
        <w:t xml:space="preserve">see </w:t>
      </w:r>
      <w:r w:rsidR="00CD4C9B">
        <w:rPr>
          <w:i/>
          <w:u w:val="single"/>
        </w:rPr>
        <w:t xml:space="preserve">UK </w:t>
      </w:r>
      <w:r w:rsidR="00F93627" w:rsidRPr="00F93627">
        <w:rPr>
          <w:i/>
          <w:u w:val="single"/>
        </w:rPr>
        <w:t>GDPR Article 28(3)(a) to (h)</w:t>
      </w:r>
    </w:p>
    <w:p w14:paraId="575DAC10" w14:textId="5AAFF146" w:rsidR="00730F81" w:rsidRDefault="0029294B" w:rsidP="00F33ECE">
      <w:r w:rsidRPr="00552635">
        <w:t xml:space="preserve">The </w:t>
      </w:r>
      <w:r w:rsidR="00D61D39">
        <w:t>P</w:t>
      </w:r>
      <w:r w:rsidR="0020182B" w:rsidRPr="00552635">
        <w:t>rocessor</w:t>
      </w:r>
      <w:r w:rsidRPr="00552635">
        <w:t xml:space="preserve"> shall</w:t>
      </w:r>
      <w:r w:rsidR="00D61D39">
        <w:t xml:space="preserve"> </w:t>
      </w:r>
      <w:r w:rsidR="006F3A9C">
        <w:t xml:space="preserve">ensure that it and any sub-processor </w:t>
      </w:r>
      <w:r w:rsidR="00730F81">
        <w:t xml:space="preserve">(to be </w:t>
      </w:r>
      <w:r w:rsidR="006F3A9C">
        <w:t>engaged</w:t>
      </w:r>
      <w:r w:rsidR="00730F81">
        <w:t xml:space="preserve"> only</w:t>
      </w:r>
      <w:r w:rsidR="006F3A9C">
        <w:t xml:space="preserve"> with the Controller’s consent</w:t>
      </w:r>
      <w:r w:rsidR="00730F81">
        <w:t xml:space="preserve"> and on the same terms as below</w:t>
      </w:r>
      <w:r w:rsidR="000F0EA0">
        <w:rPr>
          <w:rStyle w:val="FootnoteReference"/>
        </w:rPr>
        <w:footnoteReference w:id="6"/>
      </w:r>
      <w:r w:rsidR="006F3A9C">
        <w:t>)</w:t>
      </w:r>
      <w:r w:rsidR="00730F81">
        <w:t xml:space="preserve"> identifies the Personal Data as above and</w:t>
      </w:r>
      <w:r w:rsidR="007E586A">
        <w:t xml:space="preserve"> – </w:t>
      </w:r>
    </w:p>
    <w:p w14:paraId="3F9EB9C7" w14:textId="154C6821" w:rsidR="00F33ECE" w:rsidRDefault="0029294B" w:rsidP="00F33ECE">
      <w:r w:rsidRPr="00552635">
        <w:lastRenderedPageBreak/>
        <w:t xml:space="preserve">(a) </w:t>
      </w:r>
      <w:r w:rsidR="00A52F09">
        <w:t xml:space="preserve">in </w:t>
      </w:r>
      <w:r w:rsidRPr="00552635">
        <w:t>process</w:t>
      </w:r>
      <w:r w:rsidR="00A52F09">
        <w:t>ing</w:t>
      </w:r>
      <w:r w:rsidR="00F93627">
        <w:rPr>
          <w:rStyle w:val="FootnoteReference"/>
        </w:rPr>
        <w:footnoteReference w:id="7"/>
      </w:r>
      <w:r w:rsidR="00F93627">
        <w:t xml:space="preserve"> </w:t>
      </w:r>
      <w:r w:rsidR="00782540">
        <w:t>t</w:t>
      </w:r>
      <w:r w:rsidR="0020182B" w:rsidRPr="00552635">
        <w:t xml:space="preserve">he </w:t>
      </w:r>
      <w:r w:rsidR="00A52F09">
        <w:t>Personal Data</w:t>
      </w:r>
      <w:r w:rsidR="007E586A">
        <w:t>:</w:t>
      </w:r>
    </w:p>
    <w:p w14:paraId="4749EA93" w14:textId="077E4C9C" w:rsidR="00A52F09" w:rsidRDefault="00A52F09" w:rsidP="00906210">
      <w:pPr>
        <w:ind w:left="1440" w:hanging="720"/>
      </w:pPr>
      <w:r>
        <w:t>(i)</w:t>
      </w:r>
      <w:r w:rsidR="007E586A">
        <w:tab/>
      </w:r>
      <w:r>
        <w:t>do</w:t>
      </w:r>
      <w:r w:rsidR="00730F81">
        <w:t>es</w:t>
      </w:r>
      <w:r>
        <w:t xml:space="preserve"> so</w:t>
      </w:r>
      <w:r w:rsidR="0020182B" w:rsidRPr="00552635">
        <w:t xml:space="preserve"> only on documented instructions from the </w:t>
      </w:r>
      <w:r w:rsidR="0099578A" w:rsidRPr="00552635">
        <w:t>C</w:t>
      </w:r>
      <w:r w:rsidR="0020182B" w:rsidRPr="00552635">
        <w:t>ontroller</w:t>
      </w:r>
      <w:r>
        <w:t>;</w:t>
      </w:r>
    </w:p>
    <w:p w14:paraId="79B8D6BA" w14:textId="599FF000" w:rsidR="00A52F09" w:rsidRDefault="00A52F09" w:rsidP="00906210">
      <w:pPr>
        <w:ind w:left="1440" w:hanging="720"/>
      </w:pPr>
      <w:r>
        <w:t>(ii)</w:t>
      </w:r>
      <w:r w:rsidR="007E586A">
        <w:tab/>
      </w:r>
      <w:r w:rsidR="00730F81">
        <w:t xml:space="preserve">does </w:t>
      </w:r>
      <w:r>
        <w:t xml:space="preserve">not </w:t>
      </w:r>
      <w:r w:rsidR="0020182B" w:rsidRPr="00552635">
        <w:t xml:space="preserve">transfer </w:t>
      </w:r>
      <w:r w:rsidR="00782540">
        <w:t xml:space="preserve">the </w:t>
      </w:r>
      <w:r>
        <w:t>Personal Data</w:t>
      </w:r>
      <w:r w:rsidR="0020182B" w:rsidRPr="00552635">
        <w:t xml:space="preserve"> to a third country</w:t>
      </w:r>
      <w:r w:rsidR="006B74DA">
        <w:rPr>
          <w:rStyle w:val="FootnoteReference"/>
        </w:rPr>
        <w:footnoteReference w:id="8"/>
      </w:r>
      <w:r w:rsidR="0020182B" w:rsidRPr="00552635">
        <w:t xml:space="preserve"> or an international organisation</w:t>
      </w:r>
      <w:r w:rsidR="00273394">
        <w:rPr>
          <w:rStyle w:val="FootnoteReference"/>
        </w:rPr>
        <w:footnoteReference w:id="9"/>
      </w:r>
      <w:r w:rsidR="0020182B" w:rsidRPr="00552635">
        <w:t xml:space="preserve">, unless </w:t>
      </w:r>
      <w:r w:rsidR="00F33ECE">
        <w:t>the Controller so instructs</w:t>
      </w:r>
      <w:r w:rsidR="00062077">
        <w:t>,</w:t>
      </w:r>
      <w:r w:rsidR="00F33ECE">
        <w:t xml:space="preserve"> or the Processor is </w:t>
      </w:r>
      <w:r w:rsidR="0020182B" w:rsidRPr="00552635">
        <w:t xml:space="preserve">required to do so by law; </w:t>
      </w:r>
    </w:p>
    <w:p w14:paraId="431288CB" w14:textId="6CADEFDF" w:rsidR="0020182B" w:rsidRPr="00552635" w:rsidRDefault="00A52F09" w:rsidP="00906210">
      <w:pPr>
        <w:ind w:left="1440" w:hanging="720"/>
      </w:pPr>
      <w:r>
        <w:t>(iii)</w:t>
      </w:r>
      <w:r w:rsidR="007E586A">
        <w:tab/>
      </w:r>
      <w:r>
        <w:t xml:space="preserve">if the </w:t>
      </w:r>
      <w:r w:rsidR="00F33ECE">
        <w:t xml:space="preserve">Processor </w:t>
      </w:r>
      <w:r>
        <w:t>is required by law to make such a transfer</w:t>
      </w:r>
      <w:r w:rsidR="00F33ECE">
        <w:t>,</w:t>
      </w:r>
      <w:r>
        <w:t xml:space="preserve"> </w:t>
      </w:r>
      <w:r w:rsidR="0020182B" w:rsidRPr="00552635">
        <w:t xml:space="preserve">the </w:t>
      </w:r>
      <w:r w:rsidR="00F964B4" w:rsidRPr="00552635">
        <w:t>P</w:t>
      </w:r>
      <w:r w:rsidR="0020182B" w:rsidRPr="00552635">
        <w:t xml:space="preserve">rocessor shall inform the </w:t>
      </w:r>
      <w:r w:rsidR="00F964B4" w:rsidRPr="00552635">
        <w:t>C</w:t>
      </w:r>
      <w:r w:rsidR="0020182B" w:rsidRPr="00552635">
        <w:t xml:space="preserve">ontroller of that legal requirement before </w:t>
      </w:r>
      <w:r w:rsidR="008F085F">
        <w:t>transferring</w:t>
      </w:r>
      <w:r w:rsidR="0020182B" w:rsidRPr="00552635">
        <w:t xml:space="preserve">, unless </w:t>
      </w:r>
      <w:r w:rsidR="00062077">
        <w:t xml:space="preserve">the law prohibits </w:t>
      </w:r>
      <w:r w:rsidR="008F085F">
        <w:t xml:space="preserve">such information being given </w:t>
      </w:r>
      <w:r w:rsidR="00062077">
        <w:t xml:space="preserve">on </w:t>
      </w:r>
      <w:r w:rsidR="0020182B" w:rsidRPr="00552635">
        <w:t>important grounds of public interest</w:t>
      </w:r>
      <w:r w:rsidR="00FA5AD1">
        <w:t>;</w:t>
      </w:r>
      <w:r w:rsidR="0020182B" w:rsidRPr="00552635">
        <w:t xml:space="preserve"> </w:t>
      </w:r>
    </w:p>
    <w:p w14:paraId="3916AAE3" w14:textId="3D47CC5B" w:rsidR="0020182B" w:rsidRPr="00552635" w:rsidRDefault="0020182B" w:rsidP="0020182B">
      <w:r w:rsidRPr="00552635">
        <w:t xml:space="preserve">(b) </w:t>
      </w:r>
      <w:r w:rsidR="00062077" w:rsidRPr="00062077">
        <w:t xml:space="preserve">ensures that persons authorised to process the </w:t>
      </w:r>
      <w:r w:rsidR="008F085F">
        <w:t>P</w:t>
      </w:r>
      <w:r w:rsidR="00062077" w:rsidRPr="00062077">
        <w:t xml:space="preserve">ersonal </w:t>
      </w:r>
      <w:r w:rsidR="008F085F">
        <w:t>D</w:t>
      </w:r>
      <w:r w:rsidR="00062077" w:rsidRPr="00062077">
        <w:t xml:space="preserve">ata </w:t>
      </w:r>
      <w:r w:rsidR="00703146">
        <w:t xml:space="preserve">are </w:t>
      </w:r>
      <w:r w:rsidR="005D0428" w:rsidRPr="005D0428">
        <w:t xml:space="preserve">bound by </w:t>
      </w:r>
      <w:r w:rsidR="005D0428">
        <w:t xml:space="preserve">contractual confidentiality </w:t>
      </w:r>
      <w:r w:rsidR="005D0428" w:rsidRPr="005D0428">
        <w:t xml:space="preserve">obligations which reflect the requirements of </w:t>
      </w:r>
      <w:r w:rsidR="005D0428">
        <w:t>these clauses and the need to keep the Personal Data secure and confidential</w:t>
      </w:r>
      <w:r w:rsidR="00703146">
        <w:rPr>
          <w:rStyle w:val="FootnoteReference"/>
        </w:rPr>
        <w:footnoteReference w:id="10"/>
      </w:r>
      <w:r w:rsidR="00FA5AD1">
        <w:t>;</w:t>
      </w:r>
      <w:r w:rsidRPr="00552635">
        <w:t xml:space="preserve"> </w:t>
      </w:r>
    </w:p>
    <w:p w14:paraId="35A6A9D2" w14:textId="53C67B3F" w:rsidR="00B004CD" w:rsidRPr="00552635" w:rsidRDefault="0020182B" w:rsidP="0029294B">
      <w:r w:rsidRPr="00552635">
        <w:t>(c)</w:t>
      </w:r>
      <w:r w:rsidR="00B004CD" w:rsidRPr="00552635">
        <w:t xml:space="preserve"> </w:t>
      </w:r>
      <w:r w:rsidR="0031650C">
        <w:t>ensure</w:t>
      </w:r>
      <w:r w:rsidR="006F3A9C">
        <w:t>s</w:t>
      </w:r>
      <w:r w:rsidR="0031650C">
        <w:t xml:space="preserve"> </w:t>
      </w:r>
      <w:r w:rsidR="0029294B" w:rsidRPr="00552635">
        <w:t xml:space="preserve">appropriate technical and organisational measures </w:t>
      </w:r>
      <w:r w:rsidR="0031650C">
        <w:t>are in place</w:t>
      </w:r>
      <w:r w:rsidR="00062077">
        <w:rPr>
          <w:rStyle w:val="FootnoteReference"/>
        </w:rPr>
        <w:footnoteReference w:id="11"/>
      </w:r>
      <w:r w:rsidR="0031650C">
        <w:t xml:space="preserve"> </w:t>
      </w:r>
      <w:r w:rsidR="0029294B" w:rsidRPr="00552635">
        <w:t xml:space="preserve">to ensure a level of security appropriate to the risk, including inter alia as appropriate: </w:t>
      </w:r>
    </w:p>
    <w:p w14:paraId="55CDB195" w14:textId="4BA83EEC" w:rsidR="0029294B" w:rsidRPr="00552635" w:rsidRDefault="00B004CD" w:rsidP="00906210">
      <w:pPr>
        <w:ind w:left="1440" w:hanging="720"/>
      </w:pPr>
      <w:r w:rsidRPr="00552635">
        <w:t>(i</w:t>
      </w:r>
      <w:r w:rsidR="0029294B" w:rsidRPr="00552635">
        <w:t>)</w:t>
      </w:r>
      <w:r w:rsidR="007E586A">
        <w:tab/>
      </w:r>
      <w:r w:rsidR="0029294B" w:rsidRPr="00552635">
        <w:t xml:space="preserve">the pseudonymisation and encryption of </w:t>
      </w:r>
      <w:r w:rsidR="00782540">
        <w:t xml:space="preserve">the </w:t>
      </w:r>
      <w:r w:rsidR="00A52F09">
        <w:t>Personal Data</w:t>
      </w:r>
      <w:r w:rsidR="0029294B" w:rsidRPr="00552635">
        <w:t xml:space="preserve">; </w:t>
      </w:r>
    </w:p>
    <w:p w14:paraId="4F22883B" w14:textId="7A5D0DB3" w:rsidR="0029294B" w:rsidRPr="00552635" w:rsidRDefault="00B004CD" w:rsidP="00906210">
      <w:pPr>
        <w:ind w:left="1440" w:hanging="720"/>
      </w:pPr>
      <w:r w:rsidRPr="00552635">
        <w:t>(ii</w:t>
      </w:r>
      <w:r w:rsidR="0029294B" w:rsidRPr="00552635">
        <w:t>)</w:t>
      </w:r>
      <w:r w:rsidR="007E586A">
        <w:tab/>
      </w:r>
      <w:r w:rsidR="0029294B" w:rsidRPr="00552635">
        <w:t>the ability to ensure the ongoing confidentiality, integrity, availability and resilience</w:t>
      </w:r>
      <w:r w:rsidR="00062077">
        <w:t xml:space="preserve"> </w:t>
      </w:r>
      <w:r w:rsidR="0029294B" w:rsidRPr="00552635">
        <w:t xml:space="preserve">of processing systems and services; </w:t>
      </w:r>
    </w:p>
    <w:p w14:paraId="7AD116DF" w14:textId="1082D46E" w:rsidR="0029294B" w:rsidRPr="00552635" w:rsidRDefault="00B004CD" w:rsidP="00906210">
      <w:pPr>
        <w:ind w:left="1440" w:hanging="720"/>
      </w:pPr>
      <w:r w:rsidRPr="00552635">
        <w:t>(iii</w:t>
      </w:r>
      <w:r w:rsidR="0029294B" w:rsidRPr="00552635">
        <w:t>)</w:t>
      </w:r>
      <w:r w:rsidR="007E586A">
        <w:tab/>
      </w:r>
      <w:r w:rsidR="0029294B" w:rsidRPr="00552635">
        <w:t xml:space="preserve">the ability to restore the availability and access to </w:t>
      </w:r>
      <w:r w:rsidR="00782540">
        <w:t xml:space="preserve">the </w:t>
      </w:r>
      <w:r w:rsidR="00A52F09">
        <w:t>Personal Data</w:t>
      </w:r>
      <w:r w:rsidR="0029294B" w:rsidRPr="00552635">
        <w:t xml:space="preserve"> in a timely manner in the event of a physical or technical incident; </w:t>
      </w:r>
    </w:p>
    <w:p w14:paraId="4267683D" w14:textId="50FDA2E6" w:rsidR="0029294B" w:rsidRPr="00552635" w:rsidRDefault="00B004CD" w:rsidP="00906210">
      <w:pPr>
        <w:ind w:left="1440" w:hanging="720"/>
      </w:pPr>
      <w:r w:rsidRPr="00552635">
        <w:t>(iv</w:t>
      </w:r>
      <w:r w:rsidR="0029294B" w:rsidRPr="00552635">
        <w:t>)</w:t>
      </w:r>
      <w:r w:rsidR="007E586A">
        <w:tab/>
      </w:r>
      <w:r w:rsidR="0029294B" w:rsidRPr="00552635">
        <w:t>a process for regularly testing, assessing and evaluating the effectiveness of technical and organisational measures for ensuring the security of the processing</w:t>
      </w:r>
      <w:r w:rsidR="00EF4E55">
        <w:t>;</w:t>
      </w:r>
      <w:r w:rsidR="0029294B" w:rsidRPr="00552635">
        <w:t xml:space="preserve"> </w:t>
      </w:r>
    </w:p>
    <w:p w14:paraId="1416D67D" w14:textId="2D5F435F" w:rsidR="00B004CD" w:rsidRPr="00552635" w:rsidRDefault="00EF4E55" w:rsidP="00703146">
      <w:pPr>
        <w:ind w:left="360"/>
      </w:pPr>
      <w:r>
        <w:t>and i</w:t>
      </w:r>
      <w:r w:rsidR="0029294B" w:rsidRPr="00552635">
        <w:t xml:space="preserve">n assessing the appropriate level of security account </w:t>
      </w:r>
      <w:r w:rsidR="00703146">
        <w:t>may be taken of a</w:t>
      </w:r>
      <w:r w:rsidR="00703146" w:rsidRPr="00703146">
        <w:t>dherence to an approved code of conduct</w:t>
      </w:r>
      <w:r w:rsidR="00703146">
        <w:rPr>
          <w:rStyle w:val="FootnoteReference"/>
        </w:rPr>
        <w:footnoteReference w:id="12"/>
      </w:r>
      <w:r w:rsidR="00703146">
        <w:t>, and</w:t>
      </w:r>
      <w:r w:rsidR="00703146" w:rsidRPr="00703146">
        <w:t xml:space="preserve"> </w:t>
      </w:r>
      <w:r w:rsidR="00703146">
        <w:t>shall</w:t>
      </w:r>
      <w:r w:rsidR="00703146">
        <w:rPr>
          <w:rStyle w:val="FootnoteReference"/>
        </w:rPr>
        <w:footnoteReference w:id="13"/>
      </w:r>
      <w:r w:rsidR="00703146">
        <w:t xml:space="preserve"> </w:t>
      </w:r>
      <w:r w:rsidR="0029294B" w:rsidRPr="00552635">
        <w:t xml:space="preserve">be </w:t>
      </w:r>
      <w:r w:rsidR="00B004CD" w:rsidRPr="00552635">
        <w:t>taken of</w:t>
      </w:r>
      <w:r w:rsidR="007E586A">
        <w:t>:</w:t>
      </w:r>
    </w:p>
    <w:p w14:paraId="4B2F2338" w14:textId="77777777" w:rsidR="00B004CD" w:rsidRPr="00974F22" w:rsidRDefault="00B004CD" w:rsidP="00B004CD">
      <w:pPr>
        <w:pStyle w:val="ListParagraph"/>
        <w:numPr>
          <w:ilvl w:val="0"/>
          <w:numId w:val="1"/>
        </w:numPr>
      </w:pPr>
      <w:r w:rsidRPr="00974F22">
        <w:t>the state of the art, the costs of implementation and the nature, scope, context and purposes of processing</w:t>
      </w:r>
      <w:r w:rsidR="00703146">
        <w:rPr>
          <w:rStyle w:val="FootnoteReference"/>
        </w:rPr>
        <w:footnoteReference w:id="14"/>
      </w:r>
      <w:r w:rsidR="008F085F">
        <w:t>;</w:t>
      </w:r>
      <w:r w:rsidRPr="00974F22">
        <w:t xml:space="preserve"> </w:t>
      </w:r>
    </w:p>
    <w:p w14:paraId="6A6702D1" w14:textId="2DBBF0F4" w:rsidR="00B004CD" w:rsidRPr="00974F22" w:rsidRDefault="00B004CD" w:rsidP="00B004CD">
      <w:pPr>
        <w:pStyle w:val="ListParagraph"/>
        <w:numPr>
          <w:ilvl w:val="0"/>
          <w:numId w:val="1"/>
        </w:numPr>
      </w:pPr>
      <w:r w:rsidRPr="00974F22">
        <w:t>the risk of varying likelihood and severity for the rights and freedoms of natural persons)</w:t>
      </w:r>
      <w:r w:rsidR="00703146">
        <w:rPr>
          <w:rStyle w:val="FootnoteReference"/>
        </w:rPr>
        <w:footnoteReference w:id="15"/>
      </w:r>
      <w:r w:rsidR="007E586A">
        <w:t>;</w:t>
      </w:r>
    </w:p>
    <w:p w14:paraId="0CE40636" w14:textId="157EF72A" w:rsidR="0029294B" w:rsidRPr="00552635" w:rsidRDefault="0029294B" w:rsidP="00B004CD">
      <w:pPr>
        <w:pStyle w:val="ListParagraph"/>
        <w:numPr>
          <w:ilvl w:val="0"/>
          <w:numId w:val="1"/>
        </w:numPr>
      </w:pPr>
      <w:r w:rsidRPr="00552635">
        <w:t xml:space="preserve">the risks that are presented by processing, in particular from accidental or unlawful destruction, loss, alteration, unauthorised disclosure of, or access to </w:t>
      </w:r>
      <w:r w:rsidR="00782540">
        <w:t xml:space="preserve">the </w:t>
      </w:r>
      <w:r w:rsidR="00A52F09">
        <w:t>Personal Data</w:t>
      </w:r>
      <w:r w:rsidRPr="00552635">
        <w:t xml:space="preserve"> transmitted, stored or otherwise processed</w:t>
      </w:r>
      <w:r w:rsidR="00703146">
        <w:rPr>
          <w:rStyle w:val="FootnoteReference"/>
        </w:rPr>
        <w:footnoteReference w:id="16"/>
      </w:r>
      <w:r w:rsidR="00EF4E55">
        <w:t>;</w:t>
      </w:r>
      <w:r w:rsidRPr="00552635">
        <w:t xml:space="preserve"> </w:t>
      </w:r>
    </w:p>
    <w:p w14:paraId="22CF09E1" w14:textId="11B6309D" w:rsidR="00B014B1" w:rsidRPr="00552635" w:rsidRDefault="0020182B" w:rsidP="00B014B1">
      <w:r w:rsidRPr="00552635">
        <w:t>(d)</w:t>
      </w:r>
      <w:r w:rsidR="006F3A9C">
        <w:t xml:space="preserve"> does</w:t>
      </w:r>
      <w:r w:rsidR="00AB65CB">
        <w:t xml:space="preserve"> not engage another processor (a sub-processor) </w:t>
      </w:r>
      <w:r w:rsidR="00E66892">
        <w:t xml:space="preserve">unless the Controller in its absolute discretion </w:t>
      </w:r>
      <w:r w:rsidR="00D4581D">
        <w:t xml:space="preserve">gives a </w:t>
      </w:r>
      <w:r w:rsidR="00D4581D" w:rsidRPr="00552635">
        <w:t>specific or general written authorisation</w:t>
      </w:r>
      <w:r w:rsidR="00AB65CB">
        <w:t>; and where such consent is given</w:t>
      </w:r>
      <w:r w:rsidR="0020453A">
        <w:t>,</w:t>
      </w:r>
      <w:r w:rsidRPr="00552635">
        <w:t xml:space="preserve"> </w:t>
      </w:r>
      <w:r w:rsidR="00AB65CB">
        <w:t>the Processor</w:t>
      </w:r>
      <w:r w:rsidR="00720F79">
        <w:rPr>
          <w:rStyle w:val="FootnoteReference"/>
        </w:rPr>
        <w:footnoteReference w:id="17"/>
      </w:r>
      <w:r w:rsidR="00782540">
        <w:t>:</w:t>
      </w:r>
    </w:p>
    <w:p w14:paraId="7BBAC26B" w14:textId="4900E0EB" w:rsidR="00B46495" w:rsidRPr="00552635" w:rsidRDefault="00B014B1" w:rsidP="00B014B1">
      <w:pPr>
        <w:ind w:left="1440" w:hanging="720"/>
      </w:pPr>
      <w:r w:rsidRPr="00552635">
        <w:lastRenderedPageBreak/>
        <w:t>(i)</w:t>
      </w:r>
      <w:r w:rsidRPr="00552635">
        <w:tab/>
      </w:r>
      <w:r w:rsidR="00D4581D">
        <w:t>shall inform the C</w:t>
      </w:r>
      <w:r w:rsidR="00B46495" w:rsidRPr="00552635">
        <w:t xml:space="preserve">ontroller of any intended changes </w:t>
      </w:r>
      <w:r w:rsidR="00D4581D">
        <w:t xml:space="preserve">to </w:t>
      </w:r>
      <w:r w:rsidR="00D4581D" w:rsidRPr="00552635">
        <w:t xml:space="preserve">a general written authorisation </w:t>
      </w:r>
      <w:r w:rsidR="00D4581D">
        <w:t>to add or replace processors, thereby giving the C</w:t>
      </w:r>
      <w:r w:rsidR="00B46495" w:rsidRPr="00552635">
        <w:t>ontroller the opportunity to object to such changes</w:t>
      </w:r>
      <w:r w:rsidR="00297435">
        <w:rPr>
          <w:rStyle w:val="FootnoteReference"/>
        </w:rPr>
        <w:footnoteReference w:id="18"/>
      </w:r>
      <w:r w:rsidR="008F085F">
        <w:t>;</w:t>
      </w:r>
    </w:p>
    <w:p w14:paraId="46C1803A" w14:textId="77777777" w:rsidR="006F3A9C" w:rsidRDefault="0020453A" w:rsidP="00297435">
      <w:pPr>
        <w:pStyle w:val="ListParagraph"/>
        <w:numPr>
          <w:ilvl w:val="0"/>
          <w:numId w:val="4"/>
        </w:numPr>
        <w:ind w:left="1418" w:hanging="709"/>
      </w:pPr>
      <w:r>
        <w:t xml:space="preserve">shall </w:t>
      </w:r>
      <w:r w:rsidR="00B46495" w:rsidRPr="00552635">
        <w:t>impose the same data protection contractual obligations as set out in the</w:t>
      </w:r>
      <w:r w:rsidR="00703146">
        <w:t>se clauses</w:t>
      </w:r>
      <w:r w:rsidR="00703146">
        <w:rPr>
          <w:rStyle w:val="FootnoteReference"/>
        </w:rPr>
        <w:footnoteReference w:id="19"/>
      </w:r>
      <w:r w:rsidR="006F3A9C">
        <w:t>;</w:t>
      </w:r>
    </w:p>
    <w:p w14:paraId="08610691" w14:textId="42DCB40A" w:rsidR="0020453A" w:rsidRDefault="00297435" w:rsidP="00297435">
      <w:pPr>
        <w:ind w:left="1418" w:hanging="698"/>
      </w:pPr>
      <w:r>
        <w:t>(ii</w:t>
      </w:r>
      <w:r w:rsidR="008F085F">
        <w:t>i</w:t>
      </w:r>
      <w:r>
        <w:t>)</w:t>
      </w:r>
      <w:r>
        <w:tab/>
      </w:r>
      <w:r w:rsidR="006F3A9C">
        <w:t xml:space="preserve">acknowledges that </w:t>
      </w:r>
      <w:r w:rsidR="006F3A9C" w:rsidRPr="006F3A9C">
        <w:t>the Process</w:t>
      </w:r>
      <w:r>
        <w:t xml:space="preserve">or remains </w:t>
      </w:r>
      <w:r w:rsidR="006F3A9C">
        <w:t>fully liable to the C</w:t>
      </w:r>
      <w:r w:rsidR="006F3A9C" w:rsidRPr="006F3A9C">
        <w:t>ontroller for the performance</w:t>
      </w:r>
      <w:r w:rsidR="006F3A9C">
        <w:t xml:space="preserve"> of the sub-processor</w:t>
      </w:r>
      <w:r>
        <w:rPr>
          <w:rStyle w:val="FootnoteReference"/>
        </w:rPr>
        <w:footnoteReference w:id="20"/>
      </w:r>
      <w:r w:rsidR="00EF4E55">
        <w:t>;</w:t>
      </w:r>
    </w:p>
    <w:p w14:paraId="43F72528" w14:textId="12F97C29" w:rsidR="0020182B" w:rsidRPr="00552635" w:rsidRDefault="0020182B" w:rsidP="0020182B">
      <w:r w:rsidRPr="00552635">
        <w:t>(e) assist</w:t>
      </w:r>
      <w:r w:rsidR="008153DE">
        <w:t>s the C</w:t>
      </w:r>
      <w:r w:rsidRPr="00552635">
        <w:t>ontroller by appropriate technical and organisational measures, so</w:t>
      </w:r>
      <w:r w:rsidR="008153DE">
        <w:t xml:space="preserve"> </w:t>
      </w:r>
      <w:r w:rsidRPr="00552635">
        <w:t xml:space="preserve">far as possible, to </w:t>
      </w:r>
      <w:r w:rsidR="008153DE">
        <w:t xml:space="preserve">respond to </w:t>
      </w:r>
      <w:r w:rsidRPr="00552635">
        <w:t xml:space="preserve">requests for exercising the data subject's rights </w:t>
      </w:r>
      <w:r w:rsidR="008153DE">
        <w:t xml:space="preserve">under </w:t>
      </w:r>
      <w:r w:rsidR="00AB65CB">
        <w:t xml:space="preserve">Data Protection Legislation, including </w:t>
      </w:r>
      <w:r w:rsidRPr="00552635">
        <w:t>Chapter III</w:t>
      </w:r>
      <w:r w:rsidR="00AB65CB">
        <w:t xml:space="preserve"> of the </w:t>
      </w:r>
      <w:r w:rsidR="00CD4C9B">
        <w:t xml:space="preserve">UK </w:t>
      </w:r>
      <w:r w:rsidR="00AB65CB">
        <w:t>GDPR</w:t>
      </w:r>
      <w:r w:rsidR="007E586A">
        <w:rPr>
          <w:rStyle w:val="FootnoteReference"/>
        </w:rPr>
        <w:footnoteReference w:id="21"/>
      </w:r>
      <w:r w:rsidR="00EF4E55">
        <w:t>;</w:t>
      </w:r>
    </w:p>
    <w:p w14:paraId="7B594E63" w14:textId="08C526EC" w:rsidR="00B014B1" w:rsidRPr="00552635" w:rsidRDefault="0020182B" w:rsidP="00B014B1">
      <w:r w:rsidRPr="00552635">
        <w:t>(f) assist</w:t>
      </w:r>
      <w:r w:rsidR="006F3A9C">
        <w:t>s</w:t>
      </w:r>
      <w:r w:rsidRPr="00552635">
        <w:t xml:space="preserve"> the </w:t>
      </w:r>
      <w:r w:rsidR="00BA6A82" w:rsidRPr="00552635">
        <w:t>C</w:t>
      </w:r>
      <w:r w:rsidRPr="00552635">
        <w:t>ontroller</w:t>
      </w:r>
      <w:r w:rsidR="001B6CFE">
        <w:rPr>
          <w:rStyle w:val="FootnoteReference"/>
        </w:rPr>
        <w:footnoteReference w:id="22"/>
      </w:r>
      <w:r w:rsidR="00B004CD" w:rsidRPr="00552635">
        <w:t xml:space="preserve"> </w:t>
      </w:r>
      <w:r w:rsidR="00B014B1" w:rsidRPr="00552635">
        <w:t>with</w:t>
      </w:r>
      <w:r w:rsidR="007E586A">
        <w:t>:</w:t>
      </w:r>
      <w:r w:rsidR="00B004CD" w:rsidRPr="00552635">
        <w:t xml:space="preserve"> </w:t>
      </w:r>
    </w:p>
    <w:p w14:paraId="2A10B420" w14:textId="515A6A60" w:rsidR="00C1369D" w:rsidRDefault="00B014B1" w:rsidP="00906210">
      <w:pPr>
        <w:ind w:left="1440" w:hanging="720"/>
      </w:pPr>
      <w:r w:rsidRPr="00552635">
        <w:t>(i)</w:t>
      </w:r>
      <w:r w:rsidR="00C1369D">
        <w:tab/>
      </w:r>
      <w:r w:rsidR="00424E01">
        <w:t xml:space="preserve">their joint </w:t>
      </w:r>
      <w:r w:rsidR="00C1369D">
        <w:t xml:space="preserve">obligation to ensure that </w:t>
      </w:r>
      <w:r w:rsidR="00C1369D" w:rsidRPr="00C1369D">
        <w:t xml:space="preserve">appropriate technical and organisational </w:t>
      </w:r>
      <w:r w:rsidR="00C1369D">
        <w:t xml:space="preserve">security </w:t>
      </w:r>
      <w:r w:rsidR="00C1369D" w:rsidRPr="00C1369D">
        <w:t>measures</w:t>
      </w:r>
      <w:r w:rsidR="00C1369D">
        <w:t xml:space="preserve"> are in place</w:t>
      </w:r>
      <w:r w:rsidR="00C1369D">
        <w:rPr>
          <w:rStyle w:val="FootnoteReference"/>
        </w:rPr>
        <w:footnoteReference w:id="23"/>
      </w:r>
      <w:r w:rsidR="00C1369D">
        <w:t>;</w:t>
      </w:r>
    </w:p>
    <w:p w14:paraId="2C212A85" w14:textId="1386A368" w:rsidR="00B014B1" w:rsidRPr="00552635" w:rsidRDefault="00C1369D" w:rsidP="00906210">
      <w:pPr>
        <w:ind w:left="1440" w:hanging="720"/>
      </w:pPr>
      <w:r>
        <w:t>(ii)</w:t>
      </w:r>
      <w:r>
        <w:tab/>
      </w:r>
      <w:r w:rsidR="00B004CD" w:rsidRPr="00552635">
        <w:t>notify</w:t>
      </w:r>
      <w:r w:rsidR="00B014B1" w:rsidRPr="00552635">
        <w:t>ing</w:t>
      </w:r>
      <w:r w:rsidR="00B004CD" w:rsidRPr="00552635">
        <w:t xml:space="preserve"> any </w:t>
      </w:r>
      <w:r w:rsidR="00A52F09">
        <w:t>Personal Data</w:t>
      </w:r>
      <w:r w:rsidR="00B004CD" w:rsidRPr="00552635">
        <w:t xml:space="preserve"> breach to the </w:t>
      </w:r>
      <w:r w:rsidR="00370ABF">
        <w:t>Commissioner</w:t>
      </w:r>
      <w:r w:rsidR="00B014B1" w:rsidRPr="00552635">
        <w:t xml:space="preserve"> (the</w:t>
      </w:r>
      <w:r w:rsidR="001B6CFE">
        <w:t xml:space="preserve"> UK </w:t>
      </w:r>
      <w:r w:rsidR="00B014B1" w:rsidRPr="00552635">
        <w:t xml:space="preserve">ICO) and </w:t>
      </w:r>
      <w:r w:rsidR="00B004CD" w:rsidRPr="00552635">
        <w:t xml:space="preserve">to </w:t>
      </w:r>
      <w:r w:rsidR="00B014B1" w:rsidRPr="00552635">
        <w:t xml:space="preserve">the </w:t>
      </w:r>
      <w:r w:rsidR="00B004CD" w:rsidRPr="00552635">
        <w:t>data subject</w:t>
      </w:r>
      <w:r w:rsidR="001B6CFE">
        <w:rPr>
          <w:rStyle w:val="FootnoteReference"/>
        </w:rPr>
        <w:footnoteReference w:id="24"/>
      </w:r>
      <w:r w:rsidR="0020453A">
        <w:t>;</w:t>
      </w:r>
      <w:r w:rsidR="00B014B1" w:rsidRPr="00552635">
        <w:t xml:space="preserve"> </w:t>
      </w:r>
    </w:p>
    <w:p w14:paraId="0F690237" w14:textId="2F3799A9" w:rsidR="0020182B" w:rsidRPr="00552635" w:rsidRDefault="00B014B1" w:rsidP="00906210">
      <w:pPr>
        <w:ind w:left="1440" w:hanging="720"/>
      </w:pPr>
      <w:r w:rsidRPr="00552635">
        <w:t>(i</w:t>
      </w:r>
      <w:r w:rsidR="00C1369D">
        <w:t>i</w:t>
      </w:r>
      <w:r w:rsidRPr="00552635">
        <w:t>i)</w:t>
      </w:r>
      <w:r w:rsidR="00C1369D">
        <w:tab/>
      </w:r>
      <w:r w:rsidRPr="00552635">
        <w:t>d</w:t>
      </w:r>
      <w:r w:rsidR="00B004CD" w:rsidRPr="00552635">
        <w:t xml:space="preserve">ata protection impact assessments </w:t>
      </w:r>
      <w:r w:rsidRPr="00552635">
        <w:t xml:space="preserve">and consulting the </w:t>
      </w:r>
      <w:r w:rsidR="00370ABF">
        <w:t>Commissioner</w:t>
      </w:r>
      <w:r w:rsidRPr="00552635">
        <w:t xml:space="preserve"> where an </w:t>
      </w:r>
      <w:r w:rsidR="00370281" w:rsidRPr="00552635">
        <w:t>assessment</w:t>
      </w:r>
      <w:r w:rsidRPr="00552635">
        <w:t xml:space="preserve"> indicates the</w:t>
      </w:r>
      <w:r w:rsidR="003C7021">
        <w:t xml:space="preserve"> processing involves </w:t>
      </w:r>
      <w:r w:rsidRPr="00552635">
        <w:t>unmitigated high risk</w:t>
      </w:r>
      <w:r w:rsidR="008D09AA">
        <w:rPr>
          <w:rStyle w:val="FootnoteReference"/>
        </w:rPr>
        <w:footnoteReference w:id="25"/>
      </w:r>
      <w:r w:rsidR="00EF4E55">
        <w:t>;</w:t>
      </w:r>
    </w:p>
    <w:p w14:paraId="4A86BFE9" w14:textId="20AECBE9" w:rsidR="0020182B" w:rsidRPr="00552635" w:rsidRDefault="0020182B" w:rsidP="0020182B">
      <w:r w:rsidRPr="00552635">
        <w:t xml:space="preserve">(g) at the choice of the </w:t>
      </w:r>
      <w:r w:rsidR="00BA6A82" w:rsidRPr="00552635">
        <w:t>C</w:t>
      </w:r>
      <w:r w:rsidRPr="00552635">
        <w:t xml:space="preserve">ontroller, </w:t>
      </w:r>
      <w:r w:rsidR="0029294B" w:rsidRPr="00552635">
        <w:t>delete</w:t>
      </w:r>
      <w:r w:rsidR="006F3A9C">
        <w:t>s</w:t>
      </w:r>
      <w:r w:rsidRPr="00552635">
        <w:t xml:space="preserve"> or return</w:t>
      </w:r>
      <w:r w:rsidR="006F3A9C">
        <w:t>s</w:t>
      </w:r>
      <w:r w:rsidRPr="00552635">
        <w:t xml:space="preserve"> all the </w:t>
      </w:r>
      <w:r w:rsidR="00A52F09">
        <w:t>Personal Data</w:t>
      </w:r>
      <w:r w:rsidRPr="00552635">
        <w:t xml:space="preserve"> to the </w:t>
      </w:r>
      <w:r w:rsidR="00BA6A82" w:rsidRPr="00552635">
        <w:t>C</w:t>
      </w:r>
      <w:r w:rsidRPr="00552635">
        <w:t xml:space="preserve">ontroller after the end of the provision of services relating to processing, and deletes existing copies unless </w:t>
      </w:r>
      <w:r w:rsidR="00026566">
        <w:t xml:space="preserve">domestic law </w:t>
      </w:r>
      <w:r w:rsidRPr="00552635">
        <w:t xml:space="preserve">requires storage of the </w:t>
      </w:r>
      <w:r w:rsidR="00A52F09">
        <w:t>Personal Data</w:t>
      </w:r>
      <w:r w:rsidR="007E586A">
        <w:rPr>
          <w:rStyle w:val="FootnoteReference"/>
        </w:rPr>
        <w:footnoteReference w:id="26"/>
      </w:r>
      <w:r w:rsidR="00FA5AD1">
        <w:t>;</w:t>
      </w:r>
      <w:r w:rsidRPr="00552635">
        <w:t xml:space="preserve"> </w:t>
      </w:r>
      <w:r w:rsidR="00A64EF7">
        <w:t>and</w:t>
      </w:r>
    </w:p>
    <w:p w14:paraId="2E7D35DF" w14:textId="42478CEA" w:rsidR="00AB65CB" w:rsidRDefault="0029294B" w:rsidP="00370281">
      <w:r w:rsidRPr="00552635">
        <w:t>(h) make</w:t>
      </w:r>
      <w:r w:rsidR="006F3A9C">
        <w:t>s</w:t>
      </w:r>
      <w:r w:rsidR="0020182B" w:rsidRPr="00552635">
        <w:t xml:space="preserve"> available to the </w:t>
      </w:r>
      <w:r w:rsidR="00BA6A82" w:rsidRPr="00552635">
        <w:t>C</w:t>
      </w:r>
      <w:r w:rsidR="0020182B" w:rsidRPr="00552635">
        <w:t xml:space="preserve">ontroller all information necessary to demonstrate compliance with the obligations laid down in this </w:t>
      </w:r>
      <w:r w:rsidR="00BA6A82" w:rsidRPr="00552635">
        <w:t>clause</w:t>
      </w:r>
      <w:r w:rsidR="0020182B" w:rsidRPr="00552635">
        <w:t xml:space="preserve"> and allow for and contribute to audits, including inspections, conducted by the </w:t>
      </w:r>
      <w:r w:rsidR="00BA6A82" w:rsidRPr="00552635">
        <w:t>C</w:t>
      </w:r>
      <w:r w:rsidR="0020182B" w:rsidRPr="00552635">
        <w:t xml:space="preserve">ontroller or another auditor mandated by the </w:t>
      </w:r>
      <w:r w:rsidR="00BA6A82" w:rsidRPr="00552635">
        <w:t>C</w:t>
      </w:r>
      <w:r w:rsidR="0020182B" w:rsidRPr="00552635">
        <w:t>ontroller</w:t>
      </w:r>
      <w:r w:rsidR="001472E6">
        <w:t xml:space="preserve">; and </w:t>
      </w:r>
      <w:r w:rsidR="001472E6" w:rsidRPr="00552635">
        <w:t>immediately inform</w:t>
      </w:r>
      <w:r w:rsidR="001472E6">
        <w:t>s</w:t>
      </w:r>
      <w:r w:rsidR="001472E6" w:rsidRPr="00552635">
        <w:t xml:space="preserve"> the Controller if, in its opinion, an instruction infringes Data Protection Legislation</w:t>
      </w:r>
      <w:r w:rsidR="007E586A">
        <w:rPr>
          <w:rStyle w:val="FootnoteReference"/>
        </w:rPr>
        <w:footnoteReference w:id="27"/>
      </w:r>
      <w:r w:rsidR="00A64EF7">
        <w:t>.</w:t>
      </w:r>
    </w:p>
    <w:p w14:paraId="3585F5C8" w14:textId="77777777" w:rsidR="0020182B" w:rsidRPr="00552635" w:rsidRDefault="0020182B" w:rsidP="0020182B"/>
    <w:sectPr w:rsidR="0020182B" w:rsidRPr="0055263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BD4F0" w14:textId="77777777" w:rsidR="00F9536C" w:rsidRDefault="00F9536C" w:rsidP="006D38D0">
      <w:r>
        <w:separator/>
      </w:r>
    </w:p>
  </w:endnote>
  <w:endnote w:type="continuationSeparator" w:id="0">
    <w:p w14:paraId="40E19EB3" w14:textId="77777777" w:rsidR="00F9536C" w:rsidRDefault="00F9536C" w:rsidP="006D38D0">
      <w:r>
        <w:continuationSeparator/>
      </w:r>
    </w:p>
  </w:endnote>
  <w:endnote w:type="continuationNotice" w:id="1">
    <w:p w14:paraId="417D39BA" w14:textId="77777777" w:rsidR="00F9536C" w:rsidRDefault="00F95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502D2" w14:textId="333DF9AD" w:rsidR="000F0EA0" w:rsidRDefault="0014461C">
    <w:pPr>
      <w:pStyle w:val="Footer"/>
    </w:pPr>
    <w:r>
      <w:t xml:space="preserve">Model </w:t>
    </w:r>
    <w:r w:rsidR="00194208">
      <w:t xml:space="preserve">UK </w:t>
    </w:r>
    <w:r>
      <w:t xml:space="preserve">GPDR clauses </w:t>
    </w:r>
    <w:r w:rsidR="00F8563C">
      <w:t>20</w:t>
    </w:r>
    <w:r w:rsidR="00105E3B">
      <w:t xml:space="preserve"> May 2022</w:t>
    </w:r>
    <w:r w:rsidR="00AF3639">
      <w:t xml:space="preserve"> University of Cambridge</w:t>
    </w:r>
    <w:r w:rsidR="00F06C7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B82C5" w14:textId="77777777" w:rsidR="00F9536C" w:rsidRDefault="00F9536C" w:rsidP="006D38D0">
      <w:r>
        <w:separator/>
      </w:r>
    </w:p>
  </w:footnote>
  <w:footnote w:type="continuationSeparator" w:id="0">
    <w:p w14:paraId="1E9E537A" w14:textId="77777777" w:rsidR="00F9536C" w:rsidRDefault="00F9536C" w:rsidP="006D38D0">
      <w:r>
        <w:continuationSeparator/>
      </w:r>
    </w:p>
  </w:footnote>
  <w:footnote w:type="continuationNotice" w:id="1">
    <w:p w14:paraId="69E5B689" w14:textId="77777777" w:rsidR="00F9536C" w:rsidRDefault="00F9536C"/>
  </w:footnote>
  <w:footnote w:id="2">
    <w:p w14:paraId="3D0D4132" w14:textId="22CF7A62" w:rsidR="00370ABF" w:rsidRPr="00667959" w:rsidRDefault="00906210" w:rsidP="00A142A3">
      <w:pPr>
        <w:pStyle w:val="FootnoteText"/>
      </w:pPr>
      <w:r>
        <w:rPr>
          <w:rStyle w:val="FootnoteReference"/>
        </w:rPr>
        <w:footnoteRef/>
      </w:r>
      <w:r>
        <w:t xml:space="preserve"> </w:t>
      </w:r>
      <w:r w:rsidR="00A142A3" w:rsidRPr="00667959">
        <w:t xml:space="preserve">The </w:t>
      </w:r>
      <w:r w:rsidR="00667959" w:rsidRPr="00667959">
        <w:t>“</w:t>
      </w:r>
      <w:r w:rsidR="00A142A3" w:rsidRPr="00667959">
        <w:t>UK GDPR</w:t>
      </w:r>
      <w:r w:rsidR="00CD4C9B" w:rsidRPr="00CD4C9B">
        <w:t xml:space="preserve">” </w:t>
      </w:r>
      <w:r w:rsidR="006A1BC1">
        <w:t>is</w:t>
      </w:r>
      <w:r w:rsidR="00CD4C9B">
        <w:t xml:space="preserve"> defined in s</w:t>
      </w:r>
      <w:r w:rsidR="006A1BC1">
        <w:t xml:space="preserve">ection </w:t>
      </w:r>
      <w:r w:rsidR="00CD4C9B">
        <w:t>3(10) of the Data Protection Act 2018</w:t>
      </w:r>
      <w:r w:rsidR="006A1BC1">
        <w:t xml:space="preserve">. </w:t>
      </w:r>
    </w:p>
  </w:footnote>
  <w:footnote w:id="3">
    <w:p w14:paraId="432E0723" w14:textId="790F23F6" w:rsidR="00CD1970" w:rsidRDefault="00CD1970">
      <w:pPr>
        <w:pStyle w:val="FootnoteText"/>
      </w:pPr>
      <w:r>
        <w:rPr>
          <w:rStyle w:val="FootnoteReference"/>
        </w:rPr>
        <w:footnoteRef/>
      </w:r>
      <w:r>
        <w:t xml:space="preserve"> </w:t>
      </w:r>
      <w:r w:rsidRPr="00F96D41">
        <w:t>any information relating to</w:t>
      </w:r>
      <w:r>
        <w:t xml:space="preserve"> an identified or identifiable</w:t>
      </w:r>
      <w:r w:rsidRPr="00F96D41">
        <w:t xml:space="preserve"> </w:t>
      </w:r>
      <w:r>
        <w:t>n</w:t>
      </w:r>
      <w:r w:rsidRPr="00F96D41">
        <w:t>atural person</w:t>
      </w:r>
      <w:r>
        <w:t xml:space="preserve">, </w:t>
      </w:r>
      <w:r w:rsidRPr="00CB25CE">
        <w:t xml:space="preserve">who can be identified, directly or indirectly, </w:t>
      </w:r>
      <w:r>
        <w:t xml:space="preserve">in particular by reference to an identifier such as </w:t>
      </w:r>
      <w:r w:rsidRPr="00CB25CE">
        <w:t xml:space="preserve">a name, an identification number, location data, an online identifier or </w:t>
      </w:r>
      <w:r>
        <w:t xml:space="preserve">to one or more factors specific to the </w:t>
      </w:r>
      <w:r w:rsidRPr="00CB25CE">
        <w:t>physical, physiological, genetic, mental, economic, cultural or social identity</w:t>
      </w:r>
      <w:r>
        <w:t xml:space="preserve"> of that natural person (Art 4(1))</w:t>
      </w:r>
    </w:p>
  </w:footnote>
  <w:footnote w:id="4">
    <w:p w14:paraId="57D4A9EC" w14:textId="6F3993E5" w:rsidR="00CD1970" w:rsidRDefault="00CD1970" w:rsidP="00CB25CE">
      <w:pPr>
        <w:pStyle w:val="FootnoteText"/>
      </w:pPr>
      <w:r>
        <w:rPr>
          <w:rStyle w:val="FootnoteReference"/>
        </w:rPr>
        <w:footnoteRef/>
      </w:r>
      <w:r>
        <w:t xml:space="preserve"> </w:t>
      </w:r>
      <w:r w:rsidRPr="00720F79">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RPr="00720F79" w:rsidDel="00720F79">
        <w:t xml:space="preserve"> </w:t>
      </w:r>
      <w:r>
        <w:t>(Art 9(1))</w:t>
      </w:r>
    </w:p>
  </w:footnote>
  <w:footnote w:id="5">
    <w:p w14:paraId="7CC0A2E0" w14:textId="72FD3737" w:rsidR="000F0EA0" w:rsidRDefault="000F0EA0">
      <w:pPr>
        <w:pStyle w:val="FootnoteText"/>
      </w:pPr>
      <w:r>
        <w:rPr>
          <w:rStyle w:val="FootnoteReference"/>
        </w:rPr>
        <w:footnoteRef/>
      </w:r>
      <w:r>
        <w:t xml:space="preserve"> Art 28(10)</w:t>
      </w:r>
    </w:p>
  </w:footnote>
  <w:footnote w:id="6">
    <w:p w14:paraId="2AC7FEA5" w14:textId="337F9A76" w:rsidR="000F0EA0" w:rsidRDefault="000F0EA0">
      <w:pPr>
        <w:pStyle w:val="FootnoteText"/>
      </w:pPr>
      <w:r>
        <w:rPr>
          <w:rStyle w:val="FootnoteReference"/>
        </w:rPr>
        <w:footnoteRef/>
      </w:r>
      <w:r w:rsidR="008A0D89">
        <w:t xml:space="preserve"> Art 28(4</w:t>
      </w:r>
      <w:r>
        <w:t>)</w:t>
      </w:r>
    </w:p>
  </w:footnote>
  <w:footnote w:id="7">
    <w:p w14:paraId="62A455B7" w14:textId="1A3682F3" w:rsidR="00F93627" w:rsidRDefault="00F93627">
      <w:pPr>
        <w:pStyle w:val="FootnoteText"/>
      </w:pPr>
      <w:r>
        <w:rPr>
          <w:rStyle w:val="FootnoteReference"/>
        </w:rPr>
        <w:footnoteRef/>
      </w:r>
      <w:r>
        <w:t xml:space="preserve"> Art 28(3)(a)</w:t>
      </w:r>
    </w:p>
  </w:footnote>
  <w:footnote w:id="8">
    <w:p w14:paraId="67C70F15" w14:textId="67583C00" w:rsidR="006B74DA" w:rsidRDefault="006B74DA">
      <w:pPr>
        <w:pStyle w:val="FootnoteText"/>
      </w:pPr>
      <w:r>
        <w:rPr>
          <w:rStyle w:val="FootnoteReference"/>
        </w:rPr>
        <w:footnoteRef/>
      </w:r>
      <w:r>
        <w:t xml:space="preserve"> a country outside the </w:t>
      </w:r>
      <w:r w:rsidR="00667959">
        <w:t>UK</w:t>
      </w:r>
    </w:p>
  </w:footnote>
  <w:footnote w:id="9">
    <w:p w14:paraId="4CA50AFD" w14:textId="6338FC23" w:rsidR="00273394" w:rsidRDefault="00273394">
      <w:pPr>
        <w:pStyle w:val="FootnoteText"/>
      </w:pPr>
      <w:r>
        <w:rPr>
          <w:rStyle w:val="FootnoteReference"/>
        </w:rPr>
        <w:footnoteRef/>
      </w:r>
      <w:r>
        <w:t xml:space="preserve"> </w:t>
      </w:r>
      <w:r w:rsidRPr="00273394">
        <w:t>an organisation and its subordinate bodies governed by public international law, or any other body which is set up by, or on the basis of, an agreement between two or more countries</w:t>
      </w:r>
      <w:r w:rsidR="00943120">
        <w:t xml:space="preserve"> (Art 4(</w:t>
      </w:r>
      <w:r w:rsidR="00D32E58">
        <w:t>26</w:t>
      </w:r>
      <w:r w:rsidR="00943120">
        <w:t>))</w:t>
      </w:r>
    </w:p>
  </w:footnote>
  <w:footnote w:id="10">
    <w:p w14:paraId="17CBDE84" w14:textId="77777777" w:rsidR="00703146" w:rsidRDefault="00703146">
      <w:pPr>
        <w:pStyle w:val="FootnoteText"/>
      </w:pPr>
      <w:r>
        <w:rPr>
          <w:rStyle w:val="FootnoteReference"/>
        </w:rPr>
        <w:footnoteRef/>
      </w:r>
      <w:r>
        <w:t xml:space="preserve"> Art 28(3)(b</w:t>
      </w:r>
      <w:r w:rsidRPr="00703146">
        <w:t>)</w:t>
      </w:r>
    </w:p>
  </w:footnote>
  <w:footnote w:id="11">
    <w:p w14:paraId="03242E3F" w14:textId="69CA6384" w:rsidR="00062077" w:rsidRDefault="00062077">
      <w:pPr>
        <w:pStyle w:val="FootnoteText"/>
      </w:pPr>
      <w:r>
        <w:rPr>
          <w:rStyle w:val="FootnoteReference"/>
        </w:rPr>
        <w:footnoteRef/>
      </w:r>
      <w:r>
        <w:t xml:space="preserve"> Art 28(3)(c) and Art 32</w:t>
      </w:r>
    </w:p>
  </w:footnote>
  <w:footnote w:id="12">
    <w:p w14:paraId="1E0ED485" w14:textId="77777777" w:rsidR="00703146" w:rsidRDefault="00703146">
      <w:pPr>
        <w:pStyle w:val="FootnoteText"/>
      </w:pPr>
      <w:r>
        <w:rPr>
          <w:rStyle w:val="FootnoteReference"/>
        </w:rPr>
        <w:footnoteRef/>
      </w:r>
      <w:r>
        <w:t xml:space="preserve"> Art 32(3)</w:t>
      </w:r>
    </w:p>
  </w:footnote>
  <w:footnote w:id="13">
    <w:p w14:paraId="39FBBD8C" w14:textId="77777777" w:rsidR="00703146" w:rsidRDefault="00703146">
      <w:pPr>
        <w:pStyle w:val="FootnoteText"/>
      </w:pPr>
      <w:r>
        <w:rPr>
          <w:rStyle w:val="FootnoteReference"/>
        </w:rPr>
        <w:footnoteRef/>
      </w:r>
      <w:r>
        <w:t xml:space="preserve"> Art 32(1) and (2)</w:t>
      </w:r>
    </w:p>
  </w:footnote>
  <w:footnote w:id="14">
    <w:p w14:paraId="09A37C6E" w14:textId="77777777" w:rsidR="00703146" w:rsidRDefault="00703146">
      <w:pPr>
        <w:pStyle w:val="FootnoteText"/>
      </w:pPr>
      <w:r>
        <w:rPr>
          <w:rStyle w:val="FootnoteReference"/>
        </w:rPr>
        <w:footnoteRef/>
      </w:r>
      <w:r>
        <w:t xml:space="preserve"> Art 32(1)</w:t>
      </w:r>
    </w:p>
  </w:footnote>
  <w:footnote w:id="15">
    <w:p w14:paraId="5FE92FE5" w14:textId="77777777" w:rsidR="00703146" w:rsidRDefault="00703146">
      <w:pPr>
        <w:pStyle w:val="FootnoteText"/>
      </w:pPr>
      <w:r>
        <w:rPr>
          <w:rStyle w:val="FootnoteReference"/>
        </w:rPr>
        <w:footnoteRef/>
      </w:r>
      <w:r>
        <w:t xml:space="preserve"> </w:t>
      </w:r>
      <w:r w:rsidRPr="00703146">
        <w:t>Art 32(1)</w:t>
      </w:r>
    </w:p>
  </w:footnote>
  <w:footnote w:id="16">
    <w:p w14:paraId="0FDF5D47" w14:textId="77777777" w:rsidR="00703146" w:rsidRDefault="00703146" w:rsidP="00703146">
      <w:pPr>
        <w:pStyle w:val="FootnoteText"/>
      </w:pPr>
      <w:r>
        <w:rPr>
          <w:rStyle w:val="FootnoteReference"/>
        </w:rPr>
        <w:footnoteRef/>
      </w:r>
      <w:r>
        <w:t xml:space="preserve"> Art 32(2)</w:t>
      </w:r>
    </w:p>
  </w:footnote>
  <w:footnote w:id="17">
    <w:p w14:paraId="70A794FA" w14:textId="5DF4390E" w:rsidR="00720F79" w:rsidRDefault="00720F79">
      <w:pPr>
        <w:pStyle w:val="FootnoteText"/>
      </w:pPr>
      <w:r>
        <w:rPr>
          <w:rStyle w:val="FootnoteReference"/>
        </w:rPr>
        <w:footnoteRef/>
      </w:r>
      <w:r>
        <w:t xml:space="preserve"> Art 28(2) and Art</w:t>
      </w:r>
      <w:r w:rsidR="00D32E58">
        <w:t xml:space="preserve"> 28</w:t>
      </w:r>
      <w:r>
        <w:t>(3)(d)</w:t>
      </w:r>
    </w:p>
  </w:footnote>
  <w:footnote w:id="18">
    <w:p w14:paraId="070A34A7" w14:textId="77777777" w:rsidR="00297435" w:rsidRDefault="00297435" w:rsidP="00297435">
      <w:pPr>
        <w:pStyle w:val="FootnoteText"/>
      </w:pPr>
      <w:r>
        <w:rPr>
          <w:rStyle w:val="FootnoteReference"/>
        </w:rPr>
        <w:footnoteRef/>
      </w:r>
      <w:r>
        <w:t xml:space="preserve"> Art 28(2)</w:t>
      </w:r>
    </w:p>
  </w:footnote>
  <w:footnote w:id="19">
    <w:p w14:paraId="2D92A590" w14:textId="77777777" w:rsidR="00703146" w:rsidRDefault="00703146" w:rsidP="00703146">
      <w:pPr>
        <w:pStyle w:val="FootnoteText"/>
      </w:pPr>
      <w:r>
        <w:rPr>
          <w:rStyle w:val="FootnoteReference"/>
        </w:rPr>
        <w:footnoteRef/>
      </w:r>
      <w:r>
        <w:t xml:space="preserve"> Art 28(4)</w:t>
      </w:r>
    </w:p>
  </w:footnote>
  <w:footnote w:id="20">
    <w:p w14:paraId="6DE6564F" w14:textId="77777777" w:rsidR="00297435" w:rsidRDefault="00297435">
      <w:pPr>
        <w:pStyle w:val="FootnoteText"/>
      </w:pPr>
      <w:r>
        <w:rPr>
          <w:rStyle w:val="FootnoteReference"/>
        </w:rPr>
        <w:footnoteRef/>
      </w:r>
      <w:r>
        <w:t xml:space="preserve"> Art 28(4)</w:t>
      </w:r>
    </w:p>
  </w:footnote>
  <w:footnote w:id="21">
    <w:p w14:paraId="439FBB22" w14:textId="76BE4F2F" w:rsidR="007E586A" w:rsidRDefault="007E586A">
      <w:pPr>
        <w:pStyle w:val="FootnoteText"/>
      </w:pPr>
      <w:r>
        <w:rPr>
          <w:rStyle w:val="FootnoteReference"/>
        </w:rPr>
        <w:footnoteRef/>
      </w:r>
      <w:r>
        <w:t xml:space="preserve"> Art 28(3)(e)</w:t>
      </w:r>
    </w:p>
  </w:footnote>
  <w:footnote w:id="22">
    <w:p w14:paraId="31FB9770" w14:textId="77777777" w:rsidR="001B6CFE" w:rsidRDefault="001B6CFE" w:rsidP="001B6CFE">
      <w:pPr>
        <w:pStyle w:val="FootnoteText"/>
      </w:pPr>
      <w:r>
        <w:rPr>
          <w:rStyle w:val="FootnoteReference"/>
        </w:rPr>
        <w:footnoteRef/>
      </w:r>
      <w:r>
        <w:t xml:space="preserve"> Art 28(3)(f)</w:t>
      </w:r>
    </w:p>
  </w:footnote>
  <w:footnote w:id="23">
    <w:p w14:paraId="7F4CDEB6" w14:textId="18F40973" w:rsidR="00C1369D" w:rsidRDefault="00C1369D">
      <w:pPr>
        <w:pStyle w:val="FootnoteText"/>
      </w:pPr>
      <w:r>
        <w:rPr>
          <w:rStyle w:val="FootnoteReference"/>
        </w:rPr>
        <w:footnoteRef/>
      </w:r>
      <w:r>
        <w:t xml:space="preserve"> Art 32</w:t>
      </w:r>
      <w:r w:rsidR="00424E01">
        <w:t xml:space="preserve"> </w:t>
      </w:r>
    </w:p>
  </w:footnote>
  <w:footnote w:id="24">
    <w:p w14:paraId="1BED6900" w14:textId="77777777" w:rsidR="001B6CFE" w:rsidRDefault="001B6CFE">
      <w:pPr>
        <w:pStyle w:val="FootnoteText"/>
      </w:pPr>
      <w:r>
        <w:rPr>
          <w:rStyle w:val="FootnoteReference"/>
        </w:rPr>
        <w:footnoteRef/>
      </w:r>
      <w:r w:rsidR="003C7021">
        <w:t xml:space="preserve"> Art 33 and 34</w:t>
      </w:r>
    </w:p>
  </w:footnote>
  <w:footnote w:id="25">
    <w:p w14:paraId="7DE1D926" w14:textId="77777777" w:rsidR="008D09AA" w:rsidRDefault="008D09AA">
      <w:pPr>
        <w:pStyle w:val="FootnoteText"/>
      </w:pPr>
      <w:r>
        <w:rPr>
          <w:rStyle w:val="FootnoteReference"/>
        </w:rPr>
        <w:footnoteRef/>
      </w:r>
      <w:r>
        <w:t xml:space="preserve"> Art </w:t>
      </w:r>
      <w:r w:rsidR="003C7021">
        <w:t>35 and 36</w:t>
      </w:r>
    </w:p>
  </w:footnote>
  <w:footnote w:id="26">
    <w:p w14:paraId="139AA836" w14:textId="5066C2B4" w:rsidR="007E586A" w:rsidRDefault="007E586A">
      <w:pPr>
        <w:pStyle w:val="FootnoteText"/>
      </w:pPr>
      <w:r>
        <w:rPr>
          <w:rStyle w:val="FootnoteReference"/>
        </w:rPr>
        <w:footnoteRef/>
      </w:r>
      <w:r>
        <w:t xml:space="preserve"> Art 28(3)(g)</w:t>
      </w:r>
    </w:p>
  </w:footnote>
  <w:footnote w:id="27">
    <w:p w14:paraId="1F209297" w14:textId="3BB30D25" w:rsidR="007E586A" w:rsidRDefault="007E586A">
      <w:pPr>
        <w:pStyle w:val="FootnoteText"/>
      </w:pPr>
      <w:r>
        <w:rPr>
          <w:rStyle w:val="FootnoteReference"/>
        </w:rPr>
        <w:footnoteRef/>
      </w:r>
      <w:r>
        <w:t xml:space="preserve"> Art 28(3)(h)</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426"/>
    <w:multiLevelType w:val="hybridMultilevel"/>
    <w:tmpl w:val="B25880C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9933391"/>
    <w:multiLevelType w:val="hybridMultilevel"/>
    <w:tmpl w:val="7D7A348A"/>
    <w:lvl w:ilvl="0" w:tplc="E36EB1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1B0A14"/>
    <w:multiLevelType w:val="hybridMultilevel"/>
    <w:tmpl w:val="54C44E8C"/>
    <w:lvl w:ilvl="0" w:tplc="CD2EFD4C">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61C4F7C"/>
    <w:multiLevelType w:val="hybridMultilevel"/>
    <w:tmpl w:val="7AC083CE"/>
    <w:lvl w:ilvl="0" w:tplc="7A441568">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2B"/>
    <w:rsid w:val="00011B9E"/>
    <w:rsid w:val="00017BDD"/>
    <w:rsid w:val="00026566"/>
    <w:rsid w:val="00046F9D"/>
    <w:rsid w:val="00062077"/>
    <w:rsid w:val="0007509B"/>
    <w:rsid w:val="00082F5D"/>
    <w:rsid w:val="000B57C8"/>
    <w:rsid w:val="000F0EA0"/>
    <w:rsid w:val="00105E3B"/>
    <w:rsid w:val="00125B87"/>
    <w:rsid w:val="0014461C"/>
    <w:rsid w:val="00146ECD"/>
    <w:rsid w:val="001472E6"/>
    <w:rsid w:val="0016680F"/>
    <w:rsid w:val="00194208"/>
    <w:rsid w:val="00195471"/>
    <w:rsid w:val="001B6CFE"/>
    <w:rsid w:val="001C0904"/>
    <w:rsid w:val="0020182B"/>
    <w:rsid w:val="0020453A"/>
    <w:rsid w:val="0021006A"/>
    <w:rsid w:val="002106F5"/>
    <w:rsid w:val="002241AB"/>
    <w:rsid w:val="0025108A"/>
    <w:rsid w:val="002556CD"/>
    <w:rsid w:val="00273394"/>
    <w:rsid w:val="0029294B"/>
    <w:rsid w:val="00297435"/>
    <w:rsid w:val="002B0786"/>
    <w:rsid w:val="002B783E"/>
    <w:rsid w:val="002F5C2D"/>
    <w:rsid w:val="0031650C"/>
    <w:rsid w:val="00323805"/>
    <w:rsid w:val="003476D5"/>
    <w:rsid w:val="00350B6C"/>
    <w:rsid w:val="00370281"/>
    <w:rsid w:val="00370ABF"/>
    <w:rsid w:val="003B20D6"/>
    <w:rsid w:val="003C7021"/>
    <w:rsid w:val="0040652D"/>
    <w:rsid w:val="00424E01"/>
    <w:rsid w:val="00472316"/>
    <w:rsid w:val="00485E3A"/>
    <w:rsid w:val="00512048"/>
    <w:rsid w:val="00543441"/>
    <w:rsid w:val="00552635"/>
    <w:rsid w:val="0055568A"/>
    <w:rsid w:val="00592A13"/>
    <w:rsid w:val="005A6394"/>
    <w:rsid w:val="005B1BE6"/>
    <w:rsid w:val="005D0428"/>
    <w:rsid w:val="00611C4A"/>
    <w:rsid w:val="00656BF6"/>
    <w:rsid w:val="00663BCC"/>
    <w:rsid w:val="00667959"/>
    <w:rsid w:val="00671276"/>
    <w:rsid w:val="006930B8"/>
    <w:rsid w:val="006A1BC1"/>
    <w:rsid w:val="006B3C6A"/>
    <w:rsid w:val="006B74DA"/>
    <w:rsid w:val="006D38D0"/>
    <w:rsid w:val="006F1CA2"/>
    <w:rsid w:val="006F3A9C"/>
    <w:rsid w:val="00703146"/>
    <w:rsid w:val="0071019B"/>
    <w:rsid w:val="00720F79"/>
    <w:rsid w:val="00730F81"/>
    <w:rsid w:val="00782540"/>
    <w:rsid w:val="00797CAE"/>
    <w:rsid w:val="007C4602"/>
    <w:rsid w:val="007E586A"/>
    <w:rsid w:val="008153DE"/>
    <w:rsid w:val="008973D0"/>
    <w:rsid w:val="008A0D89"/>
    <w:rsid w:val="008B2C3A"/>
    <w:rsid w:val="008C0CF5"/>
    <w:rsid w:val="008D09AA"/>
    <w:rsid w:val="008F085F"/>
    <w:rsid w:val="008F7C96"/>
    <w:rsid w:val="009019F6"/>
    <w:rsid w:val="009037C5"/>
    <w:rsid w:val="00906210"/>
    <w:rsid w:val="00942AC0"/>
    <w:rsid w:val="00943120"/>
    <w:rsid w:val="00956840"/>
    <w:rsid w:val="00974F22"/>
    <w:rsid w:val="00991F71"/>
    <w:rsid w:val="0099578A"/>
    <w:rsid w:val="009B2AD2"/>
    <w:rsid w:val="00A142A3"/>
    <w:rsid w:val="00A52F09"/>
    <w:rsid w:val="00A64EF7"/>
    <w:rsid w:val="00AB65CB"/>
    <w:rsid w:val="00AE3660"/>
    <w:rsid w:val="00AF3639"/>
    <w:rsid w:val="00B004CD"/>
    <w:rsid w:val="00B014B1"/>
    <w:rsid w:val="00B067AE"/>
    <w:rsid w:val="00B46495"/>
    <w:rsid w:val="00B947D6"/>
    <w:rsid w:val="00B96FAB"/>
    <w:rsid w:val="00BA6A82"/>
    <w:rsid w:val="00BB4580"/>
    <w:rsid w:val="00BC2FE1"/>
    <w:rsid w:val="00BF4073"/>
    <w:rsid w:val="00C1369D"/>
    <w:rsid w:val="00C27460"/>
    <w:rsid w:val="00CB25CE"/>
    <w:rsid w:val="00CD1970"/>
    <w:rsid w:val="00CD4C9B"/>
    <w:rsid w:val="00D32631"/>
    <w:rsid w:val="00D32E58"/>
    <w:rsid w:val="00D4581D"/>
    <w:rsid w:val="00D61D39"/>
    <w:rsid w:val="00D75D5C"/>
    <w:rsid w:val="00DD67D8"/>
    <w:rsid w:val="00E11EEF"/>
    <w:rsid w:val="00E31ED4"/>
    <w:rsid w:val="00E353C6"/>
    <w:rsid w:val="00E66892"/>
    <w:rsid w:val="00E80C69"/>
    <w:rsid w:val="00EF4E55"/>
    <w:rsid w:val="00F06C78"/>
    <w:rsid w:val="00F249D9"/>
    <w:rsid w:val="00F33ECE"/>
    <w:rsid w:val="00F46E2B"/>
    <w:rsid w:val="00F56804"/>
    <w:rsid w:val="00F8563C"/>
    <w:rsid w:val="00F9115C"/>
    <w:rsid w:val="00F93627"/>
    <w:rsid w:val="00F9536C"/>
    <w:rsid w:val="00F964B4"/>
    <w:rsid w:val="00F96D41"/>
    <w:rsid w:val="00FA57CD"/>
    <w:rsid w:val="00FA5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283E58"/>
  <w15:docId w15:val="{C8E288A7-765C-47F9-9A77-C1F0F460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182B"/>
    <w:pPr>
      <w:autoSpaceDE w:val="0"/>
      <w:autoSpaceDN w:val="0"/>
      <w:adjustRightInd w:val="0"/>
    </w:pPr>
    <w:rPr>
      <w:rFonts w:ascii="Verdana" w:hAnsi="Verdana" w:cs="Verdana"/>
      <w:color w:val="000000"/>
      <w:sz w:val="24"/>
      <w:szCs w:val="24"/>
    </w:rPr>
  </w:style>
  <w:style w:type="character" w:styleId="CommentReference">
    <w:name w:val="annotation reference"/>
    <w:basedOn w:val="DefaultParagraphFont"/>
    <w:rsid w:val="0040652D"/>
    <w:rPr>
      <w:sz w:val="16"/>
      <w:szCs w:val="16"/>
    </w:rPr>
  </w:style>
  <w:style w:type="paragraph" w:styleId="CommentText">
    <w:name w:val="annotation text"/>
    <w:basedOn w:val="Normal"/>
    <w:link w:val="CommentTextChar"/>
    <w:rsid w:val="0040652D"/>
    <w:rPr>
      <w:sz w:val="20"/>
      <w:szCs w:val="20"/>
    </w:rPr>
  </w:style>
  <w:style w:type="character" w:customStyle="1" w:styleId="CommentTextChar">
    <w:name w:val="Comment Text Char"/>
    <w:basedOn w:val="DefaultParagraphFont"/>
    <w:link w:val="CommentText"/>
    <w:rsid w:val="0040652D"/>
  </w:style>
  <w:style w:type="paragraph" w:styleId="CommentSubject">
    <w:name w:val="annotation subject"/>
    <w:basedOn w:val="CommentText"/>
    <w:next w:val="CommentText"/>
    <w:link w:val="CommentSubjectChar"/>
    <w:rsid w:val="0040652D"/>
    <w:rPr>
      <w:b/>
      <w:bCs/>
    </w:rPr>
  </w:style>
  <w:style w:type="character" w:customStyle="1" w:styleId="CommentSubjectChar">
    <w:name w:val="Comment Subject Char"/>
    <w:basedOn w:val="CommentTextChar"/>
    <w:link w:val="CommentSubject"/>
    <w:rsid w:val="0040652D"/>
    <w:rPr>
      <w:b/>
      <w:bCs/>
    </w:rPr>
  </w:style>
  <w:style w:type="paragraph" w:styleId="BalloonText">
    <w:name w:val="Balloon Text"/>
    <w:basedOn w:val="Normal"/>
    <w:link w:val="BalloonTextChar"/>
    <w:rsid w:val="0040652D"/>
    <w:rPr>
      <w:rFonts w:ascii="Tahoma" w:hAnsi="Tahoma" w:cs="Tahoma"/>
      <w:sz w:val="16"/>
      <w:szCs w:val="16"/>
    </w:rPr>
  </w:style>
  <w:style w:type="character" w:customStyle="1" w:styleId="BalloonTextChar">
    <w:name w:val="Balloon Text Char"/>
    <w:basedOn w:val="DefaultParagraphFont"/>
    <w:link w:val="BalloonText"/>
    <w:rsid w:val="0040652D"/>
    <w:rPr>
      <w:rFonts w:ascii="Tahoma" w:hAnsi="Tahoma" w:cs="Tahoma"/>
      <w:sz w:val="16"/>
      <w:szCs w:val="16"/>
    </w:rPr>
  </w:style>
  <w:style w:type="paragraph" w:styleId="Header">
    <w:name w:val="header"/>
    <w:basedOn w:val="Normal"/>
    <w:link w:val="HeaderChar"/>
    <w:rsid w:val="006D38D0"/>
    <w:pPr>
      <w:tabs>
        <w:tab w:val="center" w:pos="4513"/>
        <w:tab w:val="right" w:pos="9026"/>
      </w:tabs>
    </w:pPr>
  </w:style>
  <w:style w:type="character" w:customStyle="1" w:styleId="HeaderChar">
    <w:name w:val="Header Char"/>
    <w:basedOn w:val="DefaultParagraphFont"/>
    <w:link w:val="Header"/>
    <w:rsid w:val="006D38D0"/>
    <w:rPr>
      <w:sz w:val="24"/>
      <w:szCs w:val="24"/>
    </w:rPr>
  </w:style>
  <w:style w:type="paragraph" w:styleId="Footer">
    <w:name w:val="footer"/>
    <w:basedOn w:val="Normal"/>
    <w:link w:val="FooterChar"/>
    <w:uiPriority w:val="99"/>
    <w:rsid w:val="006D38D0"/>
    <w:pPr>
      <w:tabs>
        <w:tab w:val="center" w:pos="4513"/>
        <w:tab w:val="right" w:pos="9026"/>
      </w:tabs>
    </w:pPr>
  </w:style>
  <w:style w:type="character" w:customStyle="1" w:styleId="FooterChar">
    <w:name w:val="Footer Char"/>
    <w:basedOn w:val="DefaultParagraphFont"/>
    <w:link w:val="Footer"/>
    <w:uiPriority w:val="99"/>
    <w:rsid w:val="006D38D0"/>
    <w:rPr>
      <w:sz w:val="24"/>
      <w:szCs w:val="24"/>
    </w:rPr>
  </w:style>
  <w:style w:type="paragraph" w:styleId="ListParagraph">
    <w:name w:val="List Paragraph"/>
    <w:basedOn w:val="Normal"/>
    <w:uiPriority w:val="34"/>
    <w:qFormat/>
    <w:rsid w:val="00B004CD"/>
    <w:pPr>
      <w:ind w:left="720"/>
      <w:contextualSpacing/>
    </w:pPr>
  </w:style>
  <w:style w:type="table" w:styleId="TableGrid">
    <w:name w:val="Table Grid"/>
    <w:basedOn w:val="TableNormal"/>
    <w:rsid w:val="0061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43441"/>
    <w:rPr>
      <w:sz w:val="20"/>
      <w:szCs w:val="20"/>
    </w:rPr>
  </w:style>
  <w:style w:type="character" w:customStyle="1" w:styleId="FootnoteTextChar">
    <w:name w:val="Footnote Text Char"/>
    <w:basedOn w:val="DefaultParagraphFont"/>
    <w:link w:val="FootnoteText"/>
    <w:rsid w:val="00543441"/>
  </w:style>
  <w:style w:type="character" w:styleId="FootnoteReference">
    <w:name w:val="footnote reference"/>
    <w:basedOn w:val="DefaultParagraphFont"/>
    <w:semiHidden/>
    <w:unhideWhenUsed/>
    <w:rsid w:val="00543441"/>
    <w:rPr>
      <w:vertAlign w:val="superscript"/>
    </w:rPr>
  </w:style>
  <w:style w:type="character" w:styleId="Hyperlink">
    <w:name w:val="Hyperlink"/>
    <w:basedOn w:val="DefaultParagraphFont"/>
    <w:unhideWhenUsed/>
    <w:rsid w:val="00485E3A"/>
    <w:rPr>
      <w:color w:val="0563C1" w:themeColor="hyperlink"/>
      <w:u w:val="single"/>
    </w:rPr>
  </w:style>
  <w:style w:type="character" w:styleId="FollowedHyperlink">
    <w:name w:val="FollowedHyperlink"/>
    <w:basedOn w:val="DefaultParagraphFont"/>
    <w:semiHidden/>
    <w:unhideWhenUsed/>
    <w:rsid w:val="00251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98E8CEE-C8D0-4108-9445-A745EB95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Boyle</dc:creator>
  <cp:lastModifiedBy>James Knapton</cp:lastModifiedBy>
  <cp:revision>3</cp:revision>
  <dcterms:created xsi:type="dcterms:W3CDTF">2022-05-20T14:54:00Z</dcterms:created>
  <dcterms:modified xsi:type="dcterms:W3CDTF">2022-05-20T14:56:00Z</dcterms:modified>
</cp:coreProperties>
</file>